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8D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0D78D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B7F10" w:rsidRDefault="004B7F10" w:rsidP="000520D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CD401E" w:rsidRDefault="00DB74A6" w:rsidP="00CD401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Управление Росреестра по Владимирской области информирует:</w:t>
      </w:r>
    </w:p>
    <w:p w:rsidR="00CD401E" w:rsidRDefault="00CD401E" w:rsidP="00CD401E">
      <w:pPr>
        <w:widowControl/>
        <w:suppressAutoHyphens w:val="0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с</w:t>
      </w:r>
      <w:r w:rsidRPr="00CD401E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ервис Росреестра по регистрации собственности вошел в число лидеров – показателей России в рейтинге Всемирного банка «Ведение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>бизнеса»</w:t>
      </w:r>
    </w:p>
    <w:p w:rsidR="00CD401E" w:rsidRDefault="00CD401E" w:rsidP="00CD401E">
      <w:pPr>
        <w:widowControl/>
        <w:suppressAutoHyphens w:val="0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Согласно представленным данным, Российская Федерация сохранила свои позиции 2018-2019 годов, заняв 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12 место по направлению «Регистрация собственности»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которое находится в сфере компетенций Росреестра. 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Наряду с двумя другими сегментами государственного регулирования, определяющими эффективность и доступность процедур для бизнеса - «Подключение к системе электроснабжения» (7 место) и «Обеспечение исполнения контрактов» (21 место) –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«Регистрация собственности» вошла в тройку лидеров, по которым у Российской Федерации наблюдаются наиболее высокие показатели в рейтинге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Регистрация прав по заявлениям, поданным в электронном виде, в Москве и Санкт-Петербурге составляет 5 рабочих дней.</w:t>
      </w:r>
      <w:r w:rsid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- 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заявила заместитель Министра экономического развития РФ - руководитель Росреестра Виктория Абрамченко.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По ее словам, в настоящее время Росреестр</w:t>
      </w:r>
      <w:r w:rsid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продолжает работу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  <w:r w:rsid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Сегодня порядка 65% всех услуг ведомства оказывается в цифровом формате, в электронном виде предоставляется более 95% сведений из ЕГРН.</w:t>
      </w:r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Росреестр обладает значительным потенциалом для дальнейшего упрощения процедур регистрации прав и кадастрового учёта, который, безусловно, позитивно скажется на сроках предоставления услуг для заявителей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», - </w:t>
      </w:r>
      <w:r w:rsidRPr="00591D8E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>отметила глава Росреестра.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Виктория Абрамченко</w:t>
      </w:r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подчеркнула,</w:t>
      </w:r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 xml:space="preserve"> что существенному сокращению сроков регистрации собственности 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может способствовать переход на унифицированные (типовые) формы электронных договоров по всем видам сделок с недвижимостью, а также </w:t>
      </w:r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разрешение на осуществление регистрации прав сразу после ввода объектов капитального строительства в эксплуатацию</w:t>
      </w:r>
      <w:r w:rsidRPr="00591D8E">
        <w:rPr>
          <w:rFonts w:eastAsia="Times New Roman" w:cs="Times New Roman"/>
          <w:kern w:val="0"/>
          <w:sz w:val="28"/>
          <w:szCs w:val="28"/>
          <w:lang w:eastAsia="ru-RU" w:bidi="ar-SA"/>
        </w:rPr>
        <w:t>. Соответствующий законопроект о внесении изменений в Градостроительный кодекс РФ и ряд законодательных актов подготовило Минэкономразвития России.</w:t>
      </w:r>
    </w:p>
    <w:p w:rsid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Благодаря организации электронного взаимодействия, по результатам которого 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Росреестр сократил сроки постановки объектов недвижимости на кадастровый учет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без предоставления заявителем разрешения на ввод в эксплуатацию 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с 14 дней в прошлом году до 9 дней в текущем году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позиции Российской Федерации в рейтинге улучшились и </w:t>
      </w:r>
      <w:r w:rsidRPr="00591D8E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по показателю «Получение разрешения на строительство» – 26 место против 48-го год назад и 115-го два года назад</w:t>
      </w:r>
      <w:r w:rsidRPr="00591D8E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bCs/>
          <w:iCs/>
          <w:kern w:val="0"/>
          <w:sz w:val="28"/>
          <w:szCs w:val="28"/>
          <w:lang w:eastAsia="ru-RU" w:bidi="ar-SA"/>
        </w:rPr>
        <w:t>Справочно: в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рамках исследования «Ведение бизнеса» </w:t>
      </w:r>
      <w:r w:rsidRPr="00591D8E">
        <w:rPr>
          <w:rFonts w:eastAsia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  <w:t xml:space="preserve">(англ. Doing Business Report) </w:t>
      </w: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учитывается вся последовательность процедур, которые компания с ограниченной ответственностью (покупатель) должна выполнить, чтобы приобрести объект недвижимости у другой компании (продавца), а также чтобы получить соответствующие права собственности и иметь возможность далее использовать данное имущество для расширения своей бизнес-деятельности, в качестве залога при получении новых кредитов, либо, при необходимости, для продажи имущества другой компании. </w:t>
      </w:r>
    </w:p>
    <w:p w:rsidR="00CD401E" w:rsidRPr="00591D8E" w:rsidRDefault="00CD401E" w:rsidP="00591D8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1D8E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sectPr w:rsidR="00CD401E" w:rsidRPr="00591D8E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D78D1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5712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1D8E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401E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91F6-FB8A-4795-99C2-37584D7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114</cp:revision>
  <cp:lastPrinted>2019-11-07T11:08:00Z</cp:lastPrinted>
  <dcterms:created xsi:type="dcterms:W3CDTF">2016-11-15T13:52:00Z</dcterms:created>
  <dcterms:modified xsi:type="dcterms:W3CDTF">2019-11-07T11:08:00Z</dcterms:modified>
</cp:coreProperties>
</file>