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b w:val="1"/>
          <w:color w:themeColor="text1" w:val="000000"/>
        </w:rPr>
      </w:pPr>
      <w:r>
        <w:rPr>
          <w:b w:val="1"/>
          <w:color w:themeColor="text1" w:val="000000"/>
        </w:rPr>
        <w:t>Введена уголовная ответственность за незаконное осуществление деятельности по возврату просроченной задолженности физических лиц</w:t>
      </w:r>
    </w:p>
    <w:p w14:paraId="03000000">
      <w:pPr>
        <w:ind/>
        <w:jc w:val="center"/>
        <w:rPr>
          <w:b w:val="1"/>
        </w:rPr>
      </w:pPr>
    </w:p>
    <w:p w14:paraId="04000000">
      <w:pPr>
        <w:ind w:firstLine="709" w:left="0"/>
        <w:jc w:val="both"/>
      </w:pPr>
      <w:r>
        <w:t xml:space="preserve">С 21.07.2023 вступил в законную силу Федеральный закон Федеральный закон от 10.07.2023 </w:t>
      </w:r>
      <w:r>
        <w:t>№</w:t>
      </w:r>
      <w:r>
        <w:t xml:space="preserve"> 323-ФЗ «О внесении изменений в Уголовный кодекс Российской Федерации и статьи 150 и 151 Уголовно-процессуального кодекса Российской Федерации».</w:t>
      </w:r>
    </w:p>
    <w:p w14:paraId="05000000">
      <w:pPr>
        <w:ind w:firstLine="709" w:left="0"/>
        <w:jc w:val="both"/>
      </w:pPr>
      <w:r>
        <w:t>Указанный законом Уголовный кодекс Российской Федерации дополнен статьей 172.4, которая предусматривает ответственность за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w:t>
      </w:r>
    </w:p>
    <w:p w14:paraId="06000000">
      <w:pPr>
        <w:ind w:firstLine="709" w:left="0"/>
        <w:jc w:val="both"/>
      </w:pPr>
      <w:r>
        <w:t>В случае совершения менее тяжкого преступления виновных лиц будет ждать наказание в виде штрафа от трехсот до пятисот тысяч, принудительные работы либо лишение свободы до 5 лет с лишением права занимать определенные должности или заниматься определенной деятельностью до 3 лет или без такового.</w:t>
      </w:r>
    </w:p>
    <w:p w14:paraId="07000000">
      <w:pPr>
        <w:ind w:firstLine="709" w:left="0"/>
        <w:jc w:val="both"/>
      </w:pPr>
      <w:r>
        <w:t>В случае совершения более тяжкого преступления наказание в виде лишения свободы может достигать 10 лет с наложением штрафа от 1 до 5 миллионов.</w:t>
      </w:r>
    </w:p>
    <w:p w14:paraId="08000000">
      <w:pPr>
        <w:ind w:firstLine="709" w:left="0"/>
        <w:jc w:val="both"/>
      </w:pPr>
      <w:r>
        <w:t>Таким образом, государством введены новые механизмы защиты прав граждан от незаконной, порой беспринципной, деятельности по возврату просроченной задолженности со стороны недобросовестных кредиторов либо представляющих их интересы лиц.</w:t>
      </w:r>
    </w:p>
    <w:p w14:paraId="09000000">
      <w:pPr>
        <w:ind w:firstLine="709" w:left="0"/>
        <w:jc w:val="both"/>
      </w:pPr>
    </w:p>
    <w:p w14:paraId="0A000000">
      <w:pPr>
        <w:ind/>
        <w:jc w:val="both"/>
      </w:pPr>
      <w:r>
        <w:t>Прокуратура Киржачского района</w:t>
      </w:r>
    </w:p>
    <w:p w14:paraId="0B000000">
      <w:pPr>
        <w:ind w:firstLine="709" w:left="0"/>
        <w:jc w:val="both"/>
      </w:pPr>
    </w:p>
    <w:p w14:paraId="0C000000">
      <w:pPr>
        <w:ind w:firstLine="709" w:left="0"/>
        <w:jc w:val="both"/>
      </w:pPr>
    </w:p>
    <w:p w14:paraId="0D000000">
      <w:pPr>
        <w:ind w:firstLine="709" w:left="0"/>
        <w:jc w:val="both"/>
      </w:pPr>
    </w:p>
    <w:p w14:paraId="0E000000">
      <w:pPr>
        <w:ind w:firstLine="709" w:left="0"/>
        <w:jc w:val="both"/>
      </w:pPr>
    </w:p>
    <w:p w14:paraId="0F000000">
      <w:pPr>
        <w:ind w:firstLine="709" w:left="0"/>
        <w:jc w:val="both"/>
      </w:pPr>
    </w:p>
    <w:p w14:paraId="10000000">
      <w:pPr>
        <w:ind w:firstLine="709" w:left="0"/>
        <w:jc w:val="both"/>
      </w:pPr>
    </w:p>
    <w:p w14:paraId="11000000">
      <w:pPr>
        <w:ind w:firstLine="709" w:left="0"/>
        <w:jc w:val="both"/>
      </w:pPr>
    </w:p>
    <w:p w14:paraId="12000000">
      <w:pPr>
        <w:ind w:firstLine="709" w:left="0"/>
        <w:jc w:val="both"/>
      </w:pPr>
    </w:p>
    <w:p w14:paraId="13000000">
      <w:pPr>
        <w:ind w:firstLine="709" w:left="0"/>
        <w:jc w:val="both"/>
      </w:pPr>
    </w:p>
    <w:p w14:paraId="14000000">
      <w:pPr>
        <w:ind w:firstLine="709" w:left="0"/>
        <w:jc w:val="both"/>
      </w:pPr>
    </w:p>
    <w:p w14:paraId="15000000">
      <w:pPr>
        <w:ind w:firstLine="709" w:left="0"/>
        <w:jc w:val="both"/>
      </w:pPr>
    </w:p>
    <w:p w14:paraId="16000000">
      <w:pPr>
        <w:ind w:firstLine="709" w:left="0"/>
        <w:jc w:val="both"/>
      </w:pPr>
    </w:p>
    <w:p w14:paraId="17000000">
      <w:pPr>
        <w:ind w:firstLine="709" w:left="0"/>
        <w:jc w:val="both"/>
      </w:pPr>
    </w:p>
    <w:p w14:paraId="18000000">
      <w:pPr>
        <w:ind w:firstLine="709" w:left="0"/>
        <w:jc w:val="both"/>
      </w:pPr>
    </w:p>
    <w:p w14:paraId="19000000">
      <w:pPr>
        <w:ind/>
        <w:jc w:val="both"/>
      </w:pPr>
    </w:p>
    <w:p w14:paraId="1A000000">
      <w:pPr>
        <w:pStyle w:val="Style_3"/>
        <w:spacing w:after="150" w:before="0"/>
        <w:ind/>
        <w:jc w:val="center"/>
        <w:rPr>
          <w:b w:val="1"/>
          <w:color w:val="000000"/>
          <w:sz w:val="28"/>
        </w:rPr>
      </w:pPr>
      <w:r>
        <w:rPr>
          <w:b w:val="1"/>
          <w:color w:val="000000"/>
          <w:sz w:val="28"/>
        </w:rPr>
        <w:t xml:space="preserve">Федеральным законом № 320-ФЗ от 10.07.2023 урегулированы правоотношения, связанные с обеспечением сохранности имущества или жилого помещения, </w:t>
      </w:r>
      <w:r>
        <w:rPr>
          <w:b w:val="1"/>
          <w:color w:val="000000"/>
          <w:sz w:val="28"/>
        </w:rPr>
        <w:t>остающихся</w:t>
      </w:r>
      <w:r>
        <w:rPr>
          <w:b w:val="1"/>
          <w:color w:val="000000"/>
          <w:sz w:val="28"/>
        </w:rPr>
        <w:t xml:space="preserve"> без присмотра на время отбывания наказания осужденным, возникшие с 13 июля 2020 года</w:t>
      </w:r>
    </w:p>
    <w:p w14:paraId="1B000000">
      <w:pPr>
        <w:pStyle w:val="Style_3"/>
        <w:spacing w:after="0" w:before="0"/>
        <w:ind w:firstLine="709" w:left="0"/>
        <w:jc w:val="both"/>
        <w:rPr>
          <w:color w:val="000000"/>
          <w:sz w:val="28"/>
        </w:rPr>
      </w:pPr>
      <w:r>
        <w:rPr>
          <w:color w:val="000000"/>
          <w:sz w:val="28"/>
        </w:rPr>
        <w:t>С 10.07.2023 введена в действие статья 313.1 Уголовно-процессуального кодекса Российской Федерации, в соответствии с которой по ходатайству осужденного суд выносит определение или постановление о принятии мер по обеспечению сохранности имущества или жилого помещения, остающихся без присмотра на время отбывания наказания осужденным, при наличии одновременно следующих условий:</w:t>
      </w:r>
    </w:p>
    <w:p w14:paraId="1C000000">
      <w:pPr>
        <w:pStyle w:val="Style_3"/>
        <w:spacing w:after="0" w:before="0"/>
        <w:ind w:firstLine="709" w:left="0"/>
        <w:jc w:val="both"/>
        <w:rPr>
          <w:color w:val="000000"/>
          <w:sz w:val="28"/>
        </w:rPr>
      </w:pPr>
      <w:r>
        <w:rPr>
          <w:color w:val="000000"/>
          <w:sz w:val="28"/>
        </w:rPr>
        <w:t>1) отсутствие у осужденного возможности самостоятельно обеспечить предусмотренными законодательством Российской Федерации способами сохранность имущества или жилого помещения;</w:t>
      </w:r>
    </w:p>
    <w:p w14:paraId="1D000000">
      <w:pPr>
        <w:pStyle w:val="Style_3"/>
        <w:spacing w:after="0" w:before="0"/>
        <w:ind w:firstLine="709" w:left="0"/>
        <w:jc w:val="both"/>
        <w:rPr>
          <w:color w:val="000000"/>
          <w:sz w:val="28"/>
        </w:rPr>
      </w:pPr>
      <w:r>
        <w:rPr>
          <w:color w:val="000000"/>
          <w:sz w:val="28"/>
        </w:rPr>
        <w:t>2) отсутствие сведений о том, что осужденным самостоятельно приняты достаточные меры по обеспечению сохранности имущества или жилого помещения;</w:t>
      </w:r>
    </w:p>
    <w:p w14:paraId="1E000000">
      <w:pPr>
        <w:pStyle w:val="Style_3"/>
        <w:spacing w:after="0" w:before="0"/>
        <w:ind w:firstLine="709" w:left="0"/>
        <w:jc w:val="both"/>
        <w:rPr>
          <w:color w:val="000000"/>
          <w:sz w:val="28"/>
        </w:rPr>
      </w:pPr>
      <w:r>
        <w:rPr>
          <w:color w:val="000000"/>
          <w:sz w:val="28"/>
        </w:rPr>
        <w:t>3) отсутствие сведений о том, что в указанном жилом помещении проживают члены семьи осужденного или иные лица, вселенные в жилое помещение на законных основаниях.</w:t>
      </w:r>
    </w:p>
    <w:p w14:paraId="1F000000">
      <w:pPr>
        <w:pStyle w:val="Style_3"/>
        <w:spacing w:after="0" w:before="0"/>
        <w:ind w:firstLine="709" w:left="0"/>
        <w:jc w:val="both"/>
        <w:rPr>
          <w:color w:val="000000"/>
          <w:sz w:val="28"/>
        </w:rPr>
      </w:pPr>
      <w:r>
        <w:rPr>
          <w:color w:val="000000"/>
          <w:sz w:val="28"/>
        </w:rPr>
        <w:t>В целях обеспечения сохранности жилого помещения судом с учетом конкретных обстоятельств могут приниматься следующие меры по обеспечению его сохранности:</w:t>
      </w:r>
    </w:p>
    <w:p w14:paraId="20000000">
      <w:pPr>
        <w:pStyle w:val="Style_3"/>
        <w:spacing w:after="0" w:before="0"/>
        <w:ind w:firstLine="709" w:left="0"/>
        <w:jc w:val="both"/>
        <w:rPr>
          <w:color w:val="000000"/>
          <w:sz w:val="28"/>
        </w:rPr>
      </w:pPr>
      <w:r>
        <w:rPr>
          <w:color w:val="000000"/>
          <w:sz w:val="28"/>
        </w:rPr>
        <w:t>1) запрет на осуществление государственной регистрации прав на недвижимое имущество, государственную регистрацию перехода права, ограничения права на жилое помещение и его обременения без личного участия осужденного;</w:t>
      </w:r>
    </w:p>
    <w:p w14:paraId="21000000">
      <w:pPr>
        <w:pStyle w:val="Style_3"/>
        <w:spacing w:after="0" w:before="0"/>
        <w:ind w:firstLine="709" w:left="0"/>
        <w:jc w:val="both"/>
        <w:rPr>
          <w:color w:val="000000"/>
          <w:sz w:val="28"/>
        </w:rPr>
      </w:pPr>
      <w:r>
        <w:rPr>
          <w:color w:val="000000"/>
          <w:sz w:val="28"/>
        </w:rPr>
        <w:t>2) запрет осуществлять регистрацию граждан в жилом помещении по месту пребывания и по месту жительства без личного участия осужденного;</w:t>
      </w:r>
    </w:p>
    <w:p w14:paraId="22000000">
      <w:pPr>
        <w:pStyle w:val="Style_3"/>
        <w:spacing w:after="0" w:before="0"/>
        <w:ind w:firstLine="709" w:left="0"/>
        <w:jc w:val="both"/>
        <w:rPr>
          <w:color w:val="000000"/>
          <w:sz w:val="28"/>
        </w:rPr>
      </w:pPr>
      <w:r>
        <w:rPr>
          <w:color w:val="000000"/>
          <w:sz w:val="28"/>
        </w:rPr>
        <w:t>3) опечатывание органом внутренних дел жилого помещения и проверка целостности оттиска печати в установленные судом сроки по месту нахождения жилого помещения;</w:t>
      </w:r>
    </w:p>
    <w:p w14:paraId="23000000">
      <w:pPr>
        <w:pStyle w:val="Style_3"/>
        <w:spacing w:after="0" w:before="0"/>
        <w:ind w:firstLine="709" w:left="0"/>
        <w:jc w:val="both"/>
        <w:rPr>
          <w:color w:val="000000"/>
          <w:sz w:val="28"/>
        </w:rPr>
      </w:pPr>
      <w:r>
        <w:rPr>
          <w:color w:val="000000"/>
          <w:sz w:val="28"/>
        </w:rPr>
        <w:t>4) иные меры, необходимые для обеспечения жилого помещения.</w:t>
      </w:r>
    </w:p>
    <w:p w14:paraId="24000000">
      <w:pPr>
        <w:pStyle w:val="Style_3"/>
        <w:spacing w:after="0" w:before="0"/>
        <w:ind w:firstLine="709" w:left="0"/>
        <w:jc w:val="both"/>
        <w:rPr>
          <w:color w:val="000000"/>
          <w:sz w:val="28"/>
        </w:rPr>
      </w:pPr>
      <w:r>
        <w:rPr>
          <w:color w:val="000000"/>
          <w:sz w:val="28"/>
        </w:rPr>
        <w:t>Меры по обеспечению сохранности указанных имущества или жилого помещения возлагаются судом на конкретный орган и отменяются по ходатайству осужденного путем вынесения судом определения или постановления.</w:t>
      </w:r>
    </w:p>
    <w:p w14:paraId="25000000">
      <w:pPr>
        <w:pStyle w:val="Style_3"/>
        <w:spacing w:after="0" w:before="0"/>
        <w:ind w:firstLine="709" w:left="0"/>
        <w:jc w:val="both"/>
        <w:rPr>
          <w:color w:val="000000"/>
          <w:sz w:val="28"/>
        </w:rPr>
      </w:pPr>
      <w:r>
        <w:rPr>
          <w:color w:val="000000"/>
          <w:sz w:val="28"/>
        </w:rPr>
        <w:t>Статья 397 Уголовно-процессуального кодекса Российской Федерации дополнена пунктом 22, согласно которому ходатайство о применении или об отмене мер по обеспечению сохранности имущества или жилого помещения, остающихся без присмотра на время отбывания наказания осужденным, разрешается судом, постановившим приговор.</w:t>
      </w:r>
    </w:p>
    <w:p w14:paraId="26000000">
      <w:pPr>
        <w:ind w:firstLine="709" w:left="0"/>
        <w:jc w:val="both"/>
      </w:pPr>
    </w:p>
    <w:p w14:paraId="27000000">
      <w:pPr>
        <w:ind/>
        <w:jc w:val="both"/>
      </w:pPr>
      <w:r>
        <w:t>Прокуратура Киржачского района</w:t>
      </w:r>
    </w:p>
    <w:p w14:paraId="28000000">
      <w:pPr>
        <w:ind/>
        <w:jc w:val="both"/>
      </w:pPr>
    </w:p>
    <w:p w14:paraId="29000000">
      <w:pPr>
        <w:ind/>
        <w:jc w:val="both"/>
      </w:pPr>
    </w:p>
    <w:p w14:paraId="2A000000">
      <w:pPr>
        <w:ind/>
        <w:jc w:val="both"/>
      </w:pPr>
    </w:p>
    <w:p w14:paraId="2B000000">
      <w:pPr>
        <w:ind w:firstLine="709" w:left="0"/>
        <w:jc w:val="center"/>
        <w:rPr>
          <w:b w:val="1"/>
        </w:rPr>
      </w:pPr>
      <w:r>
        <w:rPr>
          <w:b w:val="1"/>
        </w:rPr>
        <w:t>С 10.07.2023 вступил в силу Федеральный закон от 10.07.2023 № 286-ФЗ «О внесении изменений в отдельные законодательные акты Российской Федерации», внесший изменения в Федеральный закон от 25.12.2008 № 273-ФЗ «О противодействии коррупции</w:t>
      </w:r>
    </w:p>
    <w:p w14:paraId="2C000000">
      <w:pPr>
        <w:ind w:firstLine="709" w:left="0"/>
        <w:jc w:val="center"/>
        <w:rPr>
          <w:b w:val="1"/>
        </w:rPr>
      </w:pPr>
    </w:p>
    <w:p w14:paraId="2D000000">
      <w:pPr>
        <w:ind w:firstLine="709" w:left="0"/>
        <w:jc w:val="both"/>
      </w:pPr>
      <w:r>
        <w:t>Федеральным законом от 10.07.2023 № 286-ФЗ дополнена новыми положениями статья 13 Федерального закона от 25.12.2008 № 273-ФЗ «О противодействии коррупции» предусматривающими, что физическое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
    <w:p w14:paraId="2E000000">
      <w:pPr>
        <w:ind w:firstLine="709" w:left="0"/>
        <w:jc w:val="both"/>
      </w:pPr>
      <w:r>
        <w:t>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2F000000">
      <w:pPr>
        <w:ind w:firstLine="709" w:left="0"/>
        <w:jc w:val="both"/>
      </w:pPr>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30000000">
      <w:pPr>
        <w:ind w:firstLine="709" w:left="0"/>
        <w:jc w:val="both"/>
      </w:pPr>
      <w:r>
        <w:t>Физическое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иных обязанностей в целях противодействия коррупции, обязано подать в соответствующую комиссию по соблюдению требований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31000000">
      <w:pPr>
        <w:ind w:firstLine="709" w:left="0"/>
        <w:jc w:val="both"/>
      </w:pPr>
    </w:p>
    <w:p w14:paraId="32000000">
      <w:pPr>
        <w:ind/>
        <w:jc w:val="both"/>
      </w:pPr>
      <w:r>
        <w:t>Прокуратура Киржачского района</w:t>
      </w:r>
    </w:p>
    <w:p w14:paraId="33000000">
      <w:pPr>
        <w:ind w:firstLine="709" w:left="0"/>
        <w:jc w:val="center"/>
        <w:rPr>
          <w:b w:val="1"/>
          <w:color w:val="000000"/>
        </w:rPr>
      </w:pPr>
      <w:r>
        <w:rPr>
          <w:b w:val="1"/>
          <w:color w:val="000000"/>
        </w:rPr>
        <w:t>С 1 сентября 2023 года в силу вступают поправки в Закон № 257-Ф3, устанавливающие общую гарантию бесплатного проезда по платным дорогам для школьных автобусов и автобусов, осуществляющих организованную перевозку группы детей</w:t>
      </w:r>
    </w:p>
    <w:p w14:paraId="34000000">
      <w:pPr>
        <w:ind/>
        <w:jc w:val="both"/>
        <w:rPr>
          <w:color w:val="000000"/>
        </w:rPr>
      </w:pPr>
    </w:p>
    <w:p w14:paraId="35000000">
      <w:pPr>
        <w:ind w:firstLine="709" w:left="0"/>
        <w:jc w:val="both"/>
        <w:rPr>
          <w:color w:val="000000"/>
        </w:rPr>
      </w:pPr>
      <w:r>
        <w:rPr>
          <w:color w:val="000000"/>
        </w:rPr>
        <w:t xml:space="preserve">В соответствии с Федеральным законом от 8 ноября 2007 г. № 257-Ф3 </w:t>
      </w:r>
      <w:r>
        <w:rPr>
          <w:color w:val="000000"/>
        </w:rPr>
        <w:t>«</w:t>
      </w:r>
      <w:r>
        <w:rPr>
          <w:color w:val="00000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rPr>
        <w:t xml:space="preserve">» </w:t>
      </w:r>
      <w:r>
        <w:rPr>
          <w:color w:val="000000"/>
        </w:rPr>
        <w:t>активно развивается сеть платных дорог.</w:t>
      </w:r>
    </w:p>
    <w:p w14:paraId="36000000">
      <w:pPr>
        <w:ind w:firstLine="709" w:left="0"/>
        <w:jc w:val="both"/>
        <w:rPr>
          <w:color w:val="000000"/>
        </w:rPr>
      </w:pPr>
      <w:r>
        <w:rPr>
          <w:color w:val="000000"/>
        </w:rPr>
        <w:t>Законом № 257-ФЗ определен перечень транспортных средств, освобожденных от оплаты проезда по платным автодорогам и платным участкам дорог. В их числе транспорт общего пользования, транспорт специальных служб и организаций федеральной почтовой связи (Федеральный закон от 28</w:t>
      </w:r>
      <w:r>
        <w:rPr>
          <w:color w:val="000000"/>
        </w:rPr>
        <w:t>.02.</w:t>
      </w:r>
      <w:r>
        <w:rPr>
          <w:color w:val="000000"/>
        </w:rPr>
        <w:t>2023 № 47-Ф3).</w:t>
      </w:r>
    </w:p>
    <w:p w14:paraId="37000000">
      <w:pPr>
        <w:ind w:firstLine="709" w:left="0"/>
        <w:jc w:val="both"/>
        <w:rPr>
          <w:color w:val="000000"/>
        </w:rPr>
      </w:pPr>
      <w:r>
        <w:rPr>
          <w:color w:val="000000"/>
        </w:rPr>
        <w:t>Движение по платным дорогам школьных автобусов и автобусов, осуществляющих организованные перевозки группы детей, пока еще осуществляется на общих основаниях, если только собственники платных дорог, пользуясь своим правом определять дополнительные категории освобожденных от платы пользователей или транспортных средств, не установили такую льготу для школьных автобусов.</w:t>
      </w:r>
    </w:p>
    <w:p w14:paraId="38000000">
      <w:pPr>
        <w:ind w:firstLine="709" w:left="0"/>
        <w:jc w:val="both"/>
        <w:rPr>
          <w:color w:val="000000"/>
        </w:rPr>
      </w:pPr>
      <w:bookmarkStart w:id="1" w:name="_Hlk141994654"/>
      <w:r>
        <w:rPr>
          <w:color w:val="000000"/>
        </w:rPr>
        <w:t>С 1 сентября 2023 года в силу вступают поправки в Закон № 257-Ф3, устанавливающие общую гарантию бесплатного проезда по платным дорогам для школьных автобусов и автобусов, осуществляющих организованную перевозку группы детей.</w:t>
      </w:r>
      <w:bookmarkEnd w:id="1"/>
    </w:p>
    <w:p w14:paraId="39000000">
      <w:pPr>
        <w:ind w:firstLine="709" w:left="0"/>
        <w:jc w:val="both"/>
        <w:rPr>
          <w:color w:val="000000"/>
        </w:rPr>
      </w:pPr>
      <w:r>
        <w:rPr>
          <w:color w:val="000000"/>
        </w:rPr>
        <w:t>Инициаторы поправок уверены, что такая мера снизит финансовую нагрузку на организации, осуществляющие перевозку детей в образовательных и иных развивающих целях, подавляющее количество которых финансируется из федерального, региональных и местных бюджетов.</w:t>
      </w:r>
    </w:p>
    <w:p w14:paraId="3A000000">
      <w:pPr>
        <w:ind w:firstLine="709" w:left="0"/>
        <w:jc w:val="both"/>
        <w:rPr>
          <w:sz w:val="32"/>
        </w:rPr>
      </w:pPr>
    </w:p>
    <w:p w14:paraId="3B000000">
      <w:pPr>
        <w:ind/>
        <w:jc w:val="both"/>
      </w:pPr>
      <w:r>
        <w:t>Прокуратура Киржачского района</w:t>
      </w:r>
    </w:p>
    <w:p w14:paraId="3C000000">
      <w:pPr>
        <w:ind w:firstLine="709" w:left="0"/>
        <w:jc w:val="both"/>
        <w:rPr>
          <w:sz w:val="32"/>
        </w:rPr>
      </w:pPr>
    </w:p>
    <w:p w14:paraId="3D000000">
      <w:pPr>
        <w:ind w:firstLine="709" w:left="0"/>
        <w:jc w:val="both"/>
      </w:pPr>
    </w:p>
    <w:p w14:paraId="3E000000">
      <w:pPr>
        <w:ind w:firstLine="709" w:left="0"/>
        <w:jc w:val="both"/>
      </w:pPr>
    </w:p>
    <w:p w14:paraId="3F000000">
      <w:pPr>
        <w:ind w:firstLine="709" w:left="0"/>
        <w:jc w:val="both"/>
      </w:pPr>
    </w:p>
    <w:p w14:paraId="40000000">
      <w:pPr>
        <w:ind w:firstLine="709" w:left="0"/>
        <w:jc w:val="both"/>
      </w:pPr>
    </w:p>
    <w:p w14:paraId="41000000">
      <w:pPr>
        <w:ind w:firstLine="709" w:left="0"/>
        <w:jc w:val="both"/>
      </w:pPr>
    </w:p>
    <w:p w14:paraId="42000000">
      <w:pPr>
        <w:ind w:firstLine="709" w:left="0"/>
        <w:jc w:val="both"/>
      </w:pPr>
    </w:p>
    <w:p w14:paraId="43000000">
      <w:pPr>
        <w:ind w:firstLine="709" w:left="0"/>
        <w:jc w:val="both"/>
      </w:pPr>
    </w:p>
    <w:p w14:paraId="44000000">
      <w:pPr>
        <w:ind w:firstLine="709" w:left="0"/>
        <w:jc w:val="both"/>
      </w:pPr>
    </w:p>
    <w:p w14:paraId="45000000">
      <w:pPr>
        <w:ind w:firstLine="709" w:left="0"/>
        <w:jc w:val="both"/>
      </w:pPr>
    </w:p>
    <w:p w14:paraId="46000000">
      <w:pPr>
        <w:ind w:firstLine="709" w:left="0"/>
        <w:jc w:val="both"/>
      </w:pPr>
    </w:p>
    <w:p w14:paraId="47000000">
      <w:pPr>
        <w:ind w:firstLine="709" w:left="0"/>
        <w:jc w:val="both"/>
      </w:pPr>
    </w:p>
    <w:p w14:paraId="48000000">
      <w:pPr>
        <w:ind w:firstLine="709" w:left="0"/>
        <w:jc w:val="both"/>
      </w:pPr>
    </w:p>
    <w:p w14:paraId="49000000">
      <w:pPr>
        <w:ind w:firstLine="709" w:left="0"/>
        <w:jc w:val="both"/>
      </w:pPr>
    </w:p>
    <w:p w14:paraId="4A000000">
      <w:pPr>
        <w:ind w:firstLine="709" w:left="0"/>
        <w:jc w:val="both"/>
      </w:pPr>
    </w:p>
    <w:p w14:paraId="4B000000">
      <w:pPr>
        <w:ind w:firstLine="709" w:left="0"/>
        <w:jc w:val="center"/>
        <w:rPr>
          <w:b w:val="1"/>
        </w:rPr>
      </w:pPr>
      <w:r>
        <w:rPr>
          <w:b w:val="1"/>
        </w:rPr>
        <w:t>С 1 сентября 2023 года можно будет проводить медосмотры работников дистанционно</w:t>
      </w:r>
    </w:p>
    <w:p w14:paraId="4C000000">
      <w:pPr>
        <w:ind w:firstLine="709" w:left="0"/>
        <w:jc w:val="center"/>
        <w:rPr>
          <w:b w:val="1"/>
        </w:rPr>
      </w:pPr>
    </w:p>
    <w:p w14:paraId="4D000000">
      <w:pPr>
        <w:ind w:firstLine="709" w:left="0"/>
        <w:jc w:val="both"/>
      </w:pPr>
      <w:r>
        <w:t>Постановлением Правительства Российской Федерации от 30.05.2023 № 866 установлены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14:paraId="4E000000">
      <w:pPr>
        <w:ind w:firstLine="709" w:left="0"/>
        <w:jc w:val="both"/>
      </w:pPr>
      <w:r>
        <w:t xml:space="preserve">Начиная с 1 сентября 2023 года, допускается проведение медицинских осмотров до, после и в течение рабочего дня (смены, рейса) удаленно. Для этого используют </w:t>
      </w:r>
      <w:r>
        <w:t>медизделия</w:t>
      </w:r>
      <w:r>
        <w:t>, которые дистанционно передают информацию о состоянии здоровья. Работники в этом случае должны будут пройти идентификацию личности.</w:t>
      </w:r>
    </w:p>
    <w:p w14:paraId="4F000000">
      <w:pPr>
        <w:ind w:firstLine="709" w:left="0"/>
        <w:jc w:val="both"/>
      </w:pPr>
      <w:r>
        <w:t>При этом медицинские изделия, используемые при проведении медицинских осмотров должны соответствовать определенным требованиям:</w:t>
      </w:r>
    </w:p>
    <w:p w14:paraId="50000000">
      <w:pPr>
        <w:ind w:firstLine="709" w:left="0"/>
        <w:jc w:val="both"/>
      </w:pPr>
      <w:r>
        <w:t>- пройти государственную регистрацию;</w:t>
      </w:r>
    </w:p>
    <w:p w14:paraId="51000000">
      <w:pPr>
        <w:ind w:firstLine="709" w:left="0"/>
        <w:jc w:val="both"/>
      </w:pPr>
      <w:r>
        <w:t>- иметь функцию автоматизированной дистанционной передачи данных или иметь в составе программное обеспечение и иные технические средства, обеспечивающие дистанционную передачу информации о состоянии здоровья работников и дистанционный контроль состояния их здоровья;</w:t>
      </w:r>
    </w:p>
    <w:p w14:paraId="52000000">
      <w:pPr>
        <w:ind w:firstLine="709" w:left="0"/>
        <w:jc w:val="both"/>
      </w:pPr>
      <w:r>
        <w:t>- обеспечивать автоматический контроль целостности медицинского изделия, его программного обеспечения;</w:t>
      </w:r>
    </w:p>
    <w:p w14:paraId="53000000">
      <w:pPr>
        <w:ind w:firstLine="709" w:left="0"/>
        <w:jc w:val="both"/>
      </w:pPr>
      <w:r>
        <w:t>- обладать техническими характеристиками, обеспечивающими возможность визуального осмотра медицинским работником;</w:t>
      </w:r>
    </w:p>
    <w:p w14:paraId="54000000">
      <w:pPr>
        <w:ind w:firstLine="709" w:left="0"/>
        <w:jc w:val="both"/>
      </w:pPr>
      <w:r>
        <w:t>- представлять единые измерительные комплексы, являющиеся средствами измерений утвержденного типа;</w:t>
      </w:r>
    </w:p>
    <w:p w14:paraId="55000000">
      <w:pPr>
        <w:ind w:firstLine="709" w:left="0"/>
        <w:jc w:val="both"/>
      </w:pPr>
      <w:r>
        <w:t>- содержать в своем составе программное обеспечение, которое включено в единый реестр российских программ для электронных вычислительных машин.</w:t>
      </w:r>
    </w:p>
    <w:p w14:paraId="56000000">
      <w:pPr>
        <w:ind w:firstLine="709" w:left="0"/>
        <w:jc w:val="both"/>
      </w:pPr>
      <w:r>
        <w:t>Данные измерений и результаты осмотра должны будут храниться не менее 30 дней.</w:t>
      </w:r>
    </w:p>
    <w:p w14:paraId="57000000">
      <w:pPr>
        <w:ind w:firstLine="709" w:left="0"/>
        <w:jc w:val="both"/>
      </w:pPr>
    </w:p>
    <w:p w14:paraId="58000000">
      <w:pPr>
        <w:ind/>
        <w:jc w:val="both"/>
      </w:pPr>
      <w:r>
        <w:t>Прокуратура Киржачского района</w:t>
      </w:r>
    </w:p>
    <w:p w14:paraId="59000000">
      <w:pPr>
        <w:ind w:firstLine="709" w:left="0"/>
        <w:jc w:val="both"/>
      </w:pPr>
    </w:p>
    <w:p w14:paraId="5A000000">
      <w:pPr>
        <w:ind w:firstLine="709" w:left="0"/>
        <w:jc w:val="both"/>
      </w:pPr>
    </w:p>
    <w:p w14:paraId="5B000000">
      <w:pPr>
        <w:ind w:firstLine="709" w:left="0"/>
        <w:jc w:val="both"/>
      </w:pPr>
    </w:p>
    <w:p w14:paraId="5C000000">
      <w:pPr>
        <w:ind w:firstLine="709" w:left="0"/>
        <w:jc w:val="both"/>
      </w:pPr>
    </w:p>
    <w:p w14:paraId="5D000000">
      <w:pPr>
        <w:ind w:firstLine="709" w:left="0"/>
        <w:jc w:val="both"/>
      </w:pPr>
    </w:p>
    <w:p w14:paraId="5E000000">
      <w:pPr>
        <w:ind w:firstLine="709" w:left="0"/>
        <w:jc w:val="both"/>
      </w:pPr>
    </w:p>
    <w:p w14:paraId="5F000000">
      <w:pPr>
        <w:ind w:firstLine="709" w:left="0"/>
        <w:jc w:val="both"/>
      </w:pPr>
    </w:p>
    <w:p w14:paraId="60000000">
      <w:pPr>
        <w:ind w:firstLine="709" w:left="0"/>
        <w:jc w:val="both"/>
      </w:pPr>
    </w:p>
    <w:p w14:paraId="61000000">
      <w:pPr>
        <w:ind w:firstLine="709" w:left="0"/>
        <w:jc w:val="both"/>
      </w:pPr>
    </w:p>
    <w:p w14:paraId="62000000">
      <w:pPr>
        <w:ind w:firstLine="709" w:left="0"/>
        <w:jc w:val="both"/>
      </w:pPr>
    </w:p>
    <w:p w14:paraId="63000000">
      <w:pPr>
        <w:ind w:firstLine="709" w:left="0"/>
        <w:jc w:val="both"/>
      </w:pPr>
    </w:p>
    <w:p w14:paraId="64000000">
      <w:pPr>
        <w:ind w:firstLine="709" w:left="0"/>
        <w:jc w:val="both"/>
      </w:pPr>
    </w:p>
    <w:p w14:paraId="65000000">
      <w:pPr>
        <w:ind w:firstLine="709" w:left="0"/>
        <w:jc w:val="both"/>
      </w:pPr>
    </w:p>
    <w:p w14:paraId="66000000">
      <w:pPr>
        <w:ind w:firstLine="709" w:left="0"/>
        <w:jc w:val="both"/>
      </w:pPr>
    </w:p>
    <w:p w14:paraId="67000000">
      <w:pPr>
        <w:ind w:firstLine="709" w:left="0"/>
        <w:jc w:val="center"/>
        <w:rPr>
          <w:b w:val="1"/>
        </w:rPr>
      </w:pPr>
      <w:r>
        <w:rPr>
          <w:b w:val="1"/>
        </w:rPr>
        <w:t>Размещение информации в государственной информационной системе «Единая централизованная цифровая платформа в социальной сфере», а также получение данной информации из указанной системы осуществляется в соответствии с Федеральным законом «О государственной социальной помощи»</w:t>
      </w:r>
    </w:p>
    <w:p w14:paraId="68000000">
      <w:pPr>
        <w:ind w:firstLine="709" w:left="0"/>
        <w:jc w:val="center"/>
        <w:rPr>
          <w:b w:val="1"/>
        </w:rPr>
      </w:pPr>
    </w:p>
    <w:p w14:paraId="69000000">
      <w:pPr>
        <w:ind w:firstLine="709" w:left="0"/>
        <w:jc w:val="both"/>
      </w:pPr>
      <w:r>
        <w:t>Указанная система является федеральной государственной информационной системой, создаваемой в целях:</w:t>
      </w:r>
    </w:p>
    <w:p w14:paraId="6A000000">
      <w:pPr>
        <w:ind w:firstLine="709" w:left="0"/>
        <w:jc w:val="both"/>
      </w:pPr>
      <w:r>
        <w:t>- автоматизации процессов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w:t>
      </w:r>
    </w:p>
    <w:p w14:paraId="6B000000">
      <w:pPr>
        <w:ind w:firstLine="709" w:left="0"/>
        <w:jc w:val="both"/>
      </w:pPr>
      <w:r>
        <w:t>-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14:paraId="6C000000">
      <w:pPr>
        <w:ind w:firstLine="709" w:left="0"/>
        <w:jc w:val="both"/>
      </w:pPr>
      <w:r>
        <w:t>Единая цифровая платформа обеспечивает формирование и ведение классификатора мер социальной защиты (поддержки), перечня категорий получателей мер социальной защиты (поддержки); предоставление участникам информации об основаниях, условиях, способах, формах и фактах предоставления мер социальной защиты (поддержки) в соответствии с действующим законодательством Российской Федерации, а также сведений об организациях, предоставляющих меры социальной защиты (поддержки); выявления граждан, нуждающихся в получении мер социальной защиты и др.</w:t>
      </w:r>
    </w:p>
    <w:p w14:paraId="6D000000">
      <w:pPr>
        <w:ind w:firstLine="709" w:left="0"/>
        <w:jc w:val="both"/>
      </w:pPr>
      <w:r>
        <w:t>Оператором единой цифровой платформы является Фонд пенсионного и социального страхования Российской Федерации.</w:t>
      </w:r>
    </w:p>
    <w:p w14:paraId="6E000000">
      <w:pPr>
        <w:ind w:firstLine="709" w:left="0"/>
        <w:jc w:val="both"/>
      </w:pPr>
      <w:r>
        <w:t>Закон вступает в силу с 1 января 2024 года, за исключением положений, для которых установлен иной срок вступления их в силу. Со дня вступления в силу закона по 31 декабря 2024 года включительно устанавливается переходный период, в течение которого Фонд пенсионного и социального страхования Российской Федерации, органы государственной власти и местного самоуправления, организации, находящиеся в ведении органов государственной власти и органов местного самоуправления, проводят организационные и технологические мероприятия в целях реализации принятых положений.</w:t>
      </w:r>
    </w:p>
    <w:p w14:paraId="6F000000">
      <w:pPr>
        <w:ind w:firstLine="709" w:left="0"/>
        <w:jc w:val="both"/>
      </w:pPr>
    </w:p>
    <w:p w14:paraId="70000000">
      <w:pPr>
        <w:ind/>
        <w:jc w:val="both"/>
      </w:pPr>
      <w:r>
        <w:t>Прокуратура Киржачского района</w:t>
      </w:r>
    </w:p>
    <w:p w14:paraId="71000000">
      <w:pPr>
        <w:ind w:firstLine="709" w:left="0"/>
        <w:jc w:val="both"/>
      </w:pPr>
    </w:p>
    <w:p w14:paraId="72000000">
      <w:pPr>
        <w:ind w:firstLine="709" w:left="0"/>
        <w:jc w:val="both"/>
      </w:pPr>
    </w:p>
    <w:p w14:paraId="73000000">
      <w:pPr>
        <w:ind w:firstLine="709" w:left="0"/>
        <w:jc w:val="both"/>
      </w:pPr>
    </w:p>
    <w:p w14:paraId="74000000">
      <w:pPr>
        <w:ind w:firstLine="709" w:left="0"/>
        <w:jc w:val="both"/>
      </w:pPr>
    </w:p>
    <w:p w14:paraId="75000000">
      <w:pPr>
        <w:ind w:firstLine="709" w:left="0"/>
        <w:jc w:val="both"/>
      </w:pPr>
    </w:p>
    <w:p w14:paraId="76000000">
      <w:pPr>
        <w:ind w:firstLine="709" w:left="0"/>
        <w:jc w:val="both"/>
      </w:pPr>
    </w:p>
    <w:p w14:paraId="77000000">
      <w:pPr>
        <w:ind w:firstLine="709" w:left="0"/>
        <w:jc w:val="both"/>
      </w:pPr>
    </w:p>
    <w:p w14:paraId="78000000">
      <w:pPr>
        <w:ind w:firstLine="709" w:left="0"/>
        <w:jc w:val="both"/>
      </w:pPr>
    </w:p>
    <w:p w14:paraId="79000000">
      <w:pPr>
        <w:ind w:firstLine="709" w:left="0"/>
        <w:jc w:val="both"/>
      </w:pPr>
    </w:p>
    <w:p w14:paraId="7A000000">
      <w:pPr>
        <w:ind w:firstLine="709" w:left="0"/>
        <w:jc w:val="both"/>
      </w:pPr>
    </w:p>
    <w:p w14:paraId="7B000000">
      <w:pPr>
        <w:ind w:firstLine="709" w:left="0"/>
        <w:jc w:val="both"/>
      </w:pPr>
    </w:p>
    <w:p w14:paraId="7C000000">
      <w:pPr>
        <w:ind w:firstLine="709" w:left="0"/>
        <w:jc w:val="both"/>
      </w:pPr>
    </w:p>
    <w:p w14:paraId="7D000000">
      <w:pPr>
        <w:ind w:firstLine="709" w:left="0"/>
        <w:jc w:val="center"/>
        <w:rPr>
          <w:b w:val="1"/>
        </w:rPr>
      </w:pPr>
      <w:r>
        <w:rPr>
          <w:b w:val="1"/>
        </w:rPr>
        <w:t>Федеральным законом от 24.06.2023 №278-ФЗ внесены изменения в отдельные законодательные акты Российской Федерации</w:t>
      </w:r>
    </w:p>
    <w:p w14:paraId="7E000000">
      <w:pPr>
        <w:ind w:firstLine="709" w:left="0"/>
        <w:jc w:val="center"/>
        <w:rPr>
          <w:b w:val="1"/>
        </w:rPr>
      </w:pPr>
    </w:p>
    <w:p w14:paraId="7F000000">
      <w:pPr>
        <w:ind w:firstLine="709" w:left="0"/>
        <w:jc w:val="both"/>
      </w:pPr>
      <w:r>
        <w:t>Федеральным законом от 24.06.2023 №</w:t>
      </w:r>
      <w:r>
        <w:t xml:space="preserve"> </w:t>
      </w:r>
      <w:r>
        <w:t xml:space="preserve">278-ФЗ внесены изменения в отдельные законодательные акты Российской Федерации в части возложения обязанности по заключению договоров обязательного страхования гражданской ответственности перевозчика за причинение вреда жизни, здоровью, имуществу </w:t>
      </w:r>
      <w:r>
        <w:t>пассажировна</w:t>
      </w:r>
      <w:r>
        <w:t xml:space="preserve"> лиц, осуществляющих деятельность по перевозке пассажиров и багажа легковым такси.</w:t>
      </w:r>
    </w:p>
    <w:p w14:paraId="80000000">
      <w:pPr>
        <w:ind w:firstLine="709" w:left="0"/>
        <w:jc w:val="both"/>
      </w:pPr>
      <w:r>
        <w:t>Согласно Федеральному закону от 14.06.2012 №</w:t>
      </w:r>
      <w:r>
        <w:t xml:space="preserve"> </w:t>
      </w:r>
      <w:r>
        <w:t xml:space="preserve">67-ФЗ </w:t>
      </w:r>
      <w:r>
        <w:t>«</w:t>
      </w:r>
      <w: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t>»</w:t>
      </w:r>
      <w:r>
        <w:t xml:space="preserve"> перевозчиком признается также лицо, являющееся перевозчиком легковым такси в соответствии с Федеральным законом </w:t>
      </w:r>
      <w:r>
        <w:t>«</w:t>
      </w:r>
      <w:r>
        <w:t>Устав автомобильного транспорта и городского наземного электрического транспорта</w:t>
      </w:r>
      <w:r>
        <w:t>»</w:t>
      </w:r>
      <w:r>
        <w:t>.</w:t>
      </w:r>
    </w:p>
    <w:p w14:paraId="81000000">
      <w:pPr>
        <w:ind w:firstLine="709" w:left="0"/>
        <w:jc w:val="both"/>
      </w:pPr>
      <w:r>
        <w:t>В случае осуществления перевозок пассажиров легковым такси договор обязательного страхования заключается с перевозчиком в отношении каждого транспортного средства, сведения о котором внесены в региональный реестр легковых такси.</w:t>
      </w:r>
    </w:p>
    <w:p w14:paraId="82000000">
      <w:pPr>
        <w:ind w:firstLine="709" w:left="0"/>
        <w:jc w:val="both"/>
      </w:pPr>
      <w:r>
        <w:t xml:space="preserve">Федеральный закон </w:t>
      </w:r>
      <w:r>
        <w:t>«</w:t>
      </w:r>
      <w:r>
        <w:t>О безопасности дорожного движения</w:t>
      </w:r>
      <w:r>
        <w:t>»</w:t>
      </w:r>
      <w:r>
        <w:t> (абз.9 п.4 ст. 20) наряду с обязанностью физических лиц, не являющихся индивидуальными предпринимателями и которым предоставлено право на осуществление деятельности по перевозке пассажиров и багажа легковым такси,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 дополнен требованием по страхованию гражданской ответственности перевозчика за причинение вреда жизни, здоровью, имуществу пассажиров.</w:t>
      </w:r>
    </w:p>
    <w:p w14:paraId="83000000">
      <w:pPr>
        <w:ind w:firstLine="709" w:left="0"/>
        <w:jc w:val="both"/>
      </w:pPr>
      <w:r>
        <w:t>Прекращение договора обязательного страхования не освобождает страховщика от обязанности выплатить страховое возмещение по страховым случаям, наступившим в течение срока действия такого договора.</w:t>
      </w:r>
    </w:p>
    <w:p w14:paraId="84000000">
      <w:pPr>
        <w:ind w:firstLine="709" w:left="0"/>
        <w:jc w:val="both"/>
      </w:pPr>
      <w:r>
        <w:t>Нововведения вступят в силу с 1 сентября 2024 года. В течение 60 дней со дня вступления в силу федерального закона юридическое лицо, индивидуальный предприниматель или физическое лицо, имеющие разрешение на осуществление деятельности по перевозке пассажиров и багажа легковым такси, обязаны заключить договор обязательного страхования гражданской ответственности перевозчика за причинение вреда жизни, здоровью, имуществу пассажиров и представить информацию о нем в уполномоченный орган исполнительной власти субъекта РФ. В противном случае разрешение может быть приостановлено либо аннулировано.</w:t>
      </w:r>
    </w:p>
    <w:p w14:paraId="85000000">
      <w:pPr>
        <w:ind w:firstLine="709" w:left="0"/>
        <w:jc w:val="both"/>
      </w:pPr>
    </w:p>
    <w:p w14:paraId="86000000">
      <w:pPr>
        <w:ind/>
        <w:jc w:val="both"/>
      </w:pPr>
      <w:r>
        <w:t>Прокуратура Киржачского района</w:t>
      </w:r>
    </w:p>
    <w:p w14:paraId="87000000">
      <w:pPr>
        <w:ind w:firstLine="709" w:left="0"/>
        <w:jc w:val="both"/>
      </w:pPr>
    </w:p>
    <w:p w14:paraId="88000000">
      <w:pPr>
        <w:ind w:firstLine="709" w:left="0"/>
        <w:jc w:val="both"/>
      </w:pPr>
    </w:p>
    <w:p w14:paraId="89000000">
      <w:pPr>
        <w:ind w:firstLine="709" w:left="0"/>
        <w:jc w:val="center"/>
        <w:rPr>
          <w:b w:val="1"/>
        </w:rPr>
      </w:pPr>
      <w:r>
        <w:rPr>
          <w:b w:val="1"/>
        </w:rPr>
        <w:t>В КоАП РФ введена новая статья 14.17.4</w:t>
      </w:r>
    </w:p>
    <w:p w14:paraId="8A000000">
      <w:pPr>
        <w:ind w:firstLine="709" w:left="0"/>
        <w:jc w:val="center"/>
        <w:rPr>
          <w:b w:val="1"/>
        </w:rPr>
      </w:pPr>
    </w:p>
    <w:p w14:paraId="8B000000">
      <w:pPr>
        <w:ind w:firstLine="709" w:left="0"/>
        <w:jc w:val="both"/>
      </w:pPr>
      <w:r>
        <w:t xml:space="preserve">Федеральным  законом  от 24.07.2023 </w:t>
      </w:r>
      <w:r>
        <w:t>№</w:t>
      </w:r>
      <w:r>
        <w:t xml:space="preserve"> 363-ФЗ </w:t>
      </w:r>
      <w:r>
        <w:t>«</w:t>
      </w:r>
      <w:r>
        <w:t>О внесении изменений в Кодекс Российской Федерации об административных правонарушениях</w:t>
      </w:r>
      <w:r>
        <w:t>»</w:t>
      </w:r>
      <w:r>
        <w:t xml:space="preserve"> в КоАП РФ введена новая статья: 14.17.4. Нарушение требований к производству и (или) обороту пива и пивных напитков, сидра, </w:t>
      </w:r>
      <w:r>
        <w:t>пуаре</w:t>
      </w:r>
      <w:r>
        <w:t xml:space="preserve">, медовухи, которая устанавливает административную ответственность за нарушение требований к производству и обороту пива и пивных напитков, сидра, </w:t>
      </w:r>
      <w:r>
        <w:t>пуаре</w:t>
      </w:r>
      <w:r>
        <w:t>, медовухи</w:t>
      </w:r>
      <w:r>
        <w:t>.</w:t>
      </w:r>
    </w:p>
    <w:p w14:paraId="8C000000">
      <w:pPr>
        <w:ind w:firstLine="709" w:left="0"/>
        <w:jc w:val="both"/>
      </w:pPr>
      <w:r>
        <w:t xml:space="preserve">Так, нарушение требований к производству и (или) обороту пива и пивных напитков, сидра, </w:t>
      </w:r>
      <w:r>
        <w:t>пуаре</w:t>
      </w:r>
      <w:r>
        <w:t>, медовухи, предусмотренных профильным законодательством, повлечет наложение административного штрафа на юрлиц в размере от 100 до 150 тысяч рублей. При этом возможна конфискация продукции, оборудования, сырья, полуфабрикатов, транспортных средств или иных предметов, использованных для производства и оборота указанных напитков.</w:t>
      </w:r>
    </w:p>
    <w:p w14:paraId="8D000000">
      <w:pPr>
        <w:ind w:firstLine="709" w:left="0"/>
        <w:jc w:val="both"/>
      </w:pPr>
      <w:r>
        <w:t>Грубое нарушение соответствующих требований повлечет наложение административного штрафа на юрлиц в размере от 150 до 200 тысяч рублей с конфискацией продукции и оборудования или административное приостановление деятельности на срок до 30 суток с конфискацией продукции и оборудования.</w:t>
      </w:r>
    </w:p>
    <w:p w14:paraId="8E000000">
      <w:pPr>
        <w:ind w:firstLine="709" w:left="0"/>
        <w:jc w:val="both"/>
      </w:pPr>
      <w:r>
        <w:t>Федеральный закон вступает в силу с 1 сентября 2023 года.</w:t>
      </w:r>
    </w:p>
    <w:p w14:paraId="8F000000">
      <w:pPr>
        <w:ind w:firstLine="709" w:left="0"/>
        <w:jc w:val="both"/>
      </w:pPr>
    </w:p>
    <w:p w14:paraId="90000000">
      <w:pPr>
        <w:ind/>
        <w:jc w:val="both"/>
      </w:pPr>
      <w:r>
        <w:t>Прокуратура Киржачского района</w:t>
      </w:r>
    </w:p>
    <w:p w14:paraId="91000000">
      <w:pPr>
        <w:ind w:firstLine="709" w:left="0"/>
        <w:jc w:val="both"/>
      </w:pPr>
    </w:p>
    <w:p w14:paraId="92000000">
      <w:pPr>
        <w:ind w:firstLine="709" w:left="0"/>
        <w:jc w:val="both"/>
      </w:pPr>
    </w:p>
    <w:p w14:paraId="93000000">
      <w:pPr>
        <w:ind w:firstLine="709" w:left="0"/>
        <w:jc w:val="both"/>
      </w:pPr>
    </w:p>
    <w:p w14:paraId="94000000">
      <w:pPr>
        <w:ind w:firstLine="709" w:left="0"/>
        <w:jc w:val="both"/>
      </w:pPr>
    </w:p>
    <w:p w14:paraId="95000000">
      <w:pPr>
        <w:ind w:firstLine="709" w:left="0"/>
        <w:jc w:val="both"/>
      </w:pPr>
    </w:p>
    <w:p w14:paraId="96000000">
      <w:pPr>
        <w:ind w:firstLine="709" w:left="0"/>
        <w:jc w:val="both"/>
      </w:pPr>
    </w:p>
    <w:p w14:paraId="97000000">
      <w:pPr>
        <w:ind w:firstLine="709" w:left="0"/>
        <w:jc w:val="both"/>
      </w:pPr>
    </w:p>
    <w:p w14:paraId="98000000">
      <w:pPr>
        <w:ind w:firstLine="709" w:left="0"/>
        <w:jc w:val="both"/>
      </w:pPr>
    </w:p>
    <w:p w14:paraId="99000000">
      <w:pPr>
        <w:ind w:firstLine="709" w:left="0"/>
        <w:jc w:val="both"/>
      </w:pPr>
    </w:p>
    <w:p w14:paraId="9A000000">
      <w:pPr>
        <w:ind w:firstLine="709" w:left="0"/>
        <w:jc w:val="both"/>
      </w:pPr>
    </w:p>
    <w:p w14:paraId="9B000000">
      <w:pPr>
        <w:ind w:firstLine="709" w:left="0"/>
        <w:jc w:val="both"/>
      </w:pPr>
    </w:p>
    <w:p w14:paraId="9C000000">
      <w:pPr>
        <w:ind w:firstLine="709" w:left="0"/>
        <w:jc w:val="both"/>
      </w:pPr>
    </w:p>
    <w:p w14:paraId="9D000000">
      <w:pPr>
        <w:ind w:firstLine="709" w:left="0"/>
        <w:jc w:val="both"/>
      </w:pPr>
    </w:p>
    <w:p w14:paraId="9E000000">
      <w:pPr>
        <w:ind w:firstLine="709" w:left="0"/>
        <w:jc w:val="both"/>
      </w:pPr>
    </w:p>
    <w:p w14:paraId="9F000000">
      <w:pPr>
        <w:ind w:firstLine="709" w:left="0"/>
        <w:jc w:val="both"/>
      </w:pPr>
    </w:p>
    <w:p w14:paraId="A0000000">
      <w:pPr>
        <w:ind w:firstLine="709" w:left="0"/>
        <w:jc w:val="both"/>
      </w:pPr>
    </w:p>
    <w:p w14:paraId="A1000000">
      <w:pPr>
        <w:ind w:firstLine="709" w:left="0"/>
        <w:jc w:val="both"/>
      </w:pPr>
    </w:p>
    <w:p w14:paraId="A2000000">
      <w:pPr>
        <w:ind w:firstLine="709" w:left="0"/>
        <w:jc w:val="both"/>
      </w:pPr>
    </w:p>
    <w:p w14:paraId="A3000000">
      <w:pPr>
        <w:ind w:firstLine="709" w:left="0"/>
        <w:jc w:val="both"/>
      </w:pPr>
    </w:p>
    <w:p w14:paraId="A4000000">
      <w:pPr>
        <w:ind w:firstLine="709" w:left="0"/>
        <w:jc w:val="both"/>
      </w:pPr>
    </w:p>
    <w:p w14:paraId="A5000000">
      <w:pPr>
        <w:ind w:firstLine="709" w:left="0"/>
        <w:jc w:val="both"/>
      </w:pPr>
    </w:p>
    <w:p w14:paraId="A6000000">
      <w:pPr>
        <w:ind w:firstLine="709" w:left="0"/>
        <w:jc w:val="both"/>
      </w:pPr>
    </w:p>
    <w:p w14:paraId="A7000000">
      <w:pPr>
        <w:ind w:firstLine="709" w:left="0"/>
        <w:jc w:val="both"/>
      </w:pPr>
    </w:p>
    <w:p w14:paraId="A8000000">
      <w:pPr>
        <w:ind w:firstLine="709" w:left="0"/>
        <w:jc w:val="both"/>
      </w:pPr>
    </w:p>
    <w:p w14:paraId="A9000000">
      <w:pPr>
        <w:ind/>
        <w:jc w:val="both"/>
        <w:rPr>
          <w:color w:val="000000"/>
        </w:rPr>
      </w:pPr>
    </w:p>
    <w:p w14:paraId="AA000000">
      <w:pPr>
        <w:ind w:firstLine="709" w:left="0"/>
        <w:jc w:val="center"/>
        <w:rPr>
          <w:b w:val="1"/>
          <w:color w:val="000000"/>
        </w:rPr>
      </w:pPr>
      <w:r>
        <w:rPr>
          <w:b w:val="1"/>
          <w:color w:val="000000"/>
        </w:rPr>
        <w:t>С 4 июля 2023 года Правилами исчисления среднего заработка по последнему месту работы (службы) утверждены постановлением Правительства РФ от 24.06.2023 № 1026, в соответствии с которыми средний заработок, учитывающийся при назначении пособия по безработице, рассчитывается по-новому</w:t>
      </w:r>
    </w:p>
    <w:p w14:paraId="AB000000">
      <w:pPr>
        <w:ind w:firstLine="709" w:left="0"/>
        <w:jc w:val="center"/>
        <w:rPr>
          <w:color w:val="000000"/>
        </w:rPr>
      </w:pPr>
    </w:p>
    <w:p w14:paraId="AC000000">
      <w:pPr>
        <w:ind w:firstLine="709" w:left="0"/>
        <w:jc w:val="both"/>
        <w:rPr>
          <w:color w:val="000000"/>
        </w:rPr>
      </w:pPr>
      <w:r>
        <w:rPr>
          <w:color w:val="000000"/>
        </w:rPr>
        <w:t xml:space="preserve">В первую очередь изменения коснулись периода, за который рассчитывается средний заработок, а также сведений о доходах, учитываемых при его расчете. Средний заработок исчисляется за три календарных месяца, предшествующих календарному месяцу перед месяцем увольнения гражданина, за исключением граждан, уволенных с военной службы по призыву. Если в каком-либо из месяцев у работника отсутствовал доход или он уходил на больничный, то в качестве расчетного периода используется иной период, ближайший к месяцу увольнения, в пределах 12 календарных месяцев. Если три полностью отработанных месяца отсутствуют, то в пределах года для расчета могут использоваться два или один полностью отработанный месяц. </w:t>
      </w:r>
    </w:p>
    <w:p w14:paraId="AD000000">
      <w:pPr>
        <w:ind w:firstLine="709" w:left="0"/>
        <w:jc w:val="both"/>
        <w:rPr>
          <w:color w:val="000000"/>
        </w:rPr>
      </w:pPr>
      <w:r>
        <w:rPr>
          <w:color w:val="000000"/>
        </w:rPr>
        <w:t xml:space="preserve">Помимо этого, определен порядок действий для случаев, когда работник находился в отпуске по беременности и родам или в отпуске по уходу за ребенком, не имел дохода, был уволен с военной службы по призыву и т.д. </w:t>
      </w:r>
    </w:p>
    <w:p w14:paraId="AE000000">
      <w:pPr>
        <w:ind w:firstLine="709" w:left="0"/>
        <w:jc w:val="both"/>
        <w:rPr>
          <w:sz w:val="32"/>
        </w:rPr>
      </w:pPr>
      <w:r>
        <w:rPr>
          <w:color w:val="000000"/>
        </w:rPr>
        <w:t>В случае, если сотрудник отработал менее одного месяца, то работодатель обязан исчислять средний заработок исходя из фактически отработанного времени.</w:t>
      </w:r>
      <w:r>
        <w:rPr>
          <w:color w:val="000000"/>
        </w:rPr>
        <w:br/>
      </w:r>
    </w:p>
    <w:p w14:paraId="AF000000">
      <w:pPr>
        <w:ind/>
        <w:jc w:val="both"/>
      </w:pPr>
      <w:r>
        <w:t>Прокуратура Киржачского района</w:t>
      </w:r>
    </w:p>
    <w:p w14:paraId="B0000000">
      <w:pPr>
        <w:ind w:firstLine="709" w:left="0"/>
        <w:jc w:val="both"/>
        <w:rPr>
          <w:sz w:val="32"/>
        </w:rPr>
      </w:pPr>
    </w:p>
    <w:p w14:paraId="B1000000">
      <w:pPr>
        <w:ind w:firstLine="709" w:left="0"/>
        <w:jc w:val="both"/>
        <w:rPr>
          <w:sz w:val="32"/>
        </w:rPr>
      </w:pPr>
    </w:p>
    <w:p w14:paraId="B2000000">
      <w:pPr>
        <w:ind w:firstLine="709" w:left="0"/>
        <w:jc w:val="both"/>
        <w:rPr>
          <w:sz w:val="32"/>
        </w:rPr>
      </w:pPr>
    </w:p>
    <w:p w14:paraId="B3000000">
      <w:pPr>
        <w:ind w:firstLine="709" w:left="0"/>
        <w:jc w:val="both"/>
        <w:rPr>
          <w:sz w:val="32"/>
        </w:rPr>
      </w:pPr>
    </w:p>
    <w:p w14:paraId="B4000000">
      <w:pPr>
        <w:ind w:firstLine="709" w:left="0"/>
        <w:jc w:val="both"/>
        <w:rPr>
          <w:sz w:val="32"/>
        </w:rPr>
      </w:pPr>
    </w:p>
    <w:p w14:paraId="B5000000">
      <w:pPr>
        <w:ind w:firstLine="709" w:left="0"/>
        <w:jc w:val="both"/>
        <w:rPr>
          <w:sz w:val="32"/>
        </w:rPr>
      </w:pPr>
    </w:p>
    <w:p w14:paraId="B6000000">
      <w:pPr>
        <w:ind w:firstLine="709" w:left="0"/>
        <w:jc w:val="both"/>
        <w:rPr>
          <w:sz w:val="32"/>
        </w:rPr>
      </w:pPr>
    </w:p>
    <w:p w14:paraId="B7000000">
      <w:pPr>
        <w:ind w:firstLine="709" w:left="0"/>
        <w:jc w:val="both"/>
        <w:rPr>
          <w:sz w:val="32"/>
        </w:rPr>
      </w:pPr>
    </w:p>
    <w:p w14:paraId="B8000000">
      <w:pPr>
        <w:ind w:firstLine="709" w:left="0"/>
        <w:jc w:val="both"/>
        <w:rPr>
          <w:sz w:val="32"/>
        </w:rPr>
      </w:pPr>
    </w:p>
    <w:p w14:paraId="B9000000">
      <w:pPr>
        <w:ind w:firstLine="709" w:left="0"/>
        <w:jc w:val="both"/>
        <w:rPr>
          <w:sz w:val="32"/>
        </w:rPr>
      </w:pPr>
    </w:p>
    <w:p w14:paraId="BA000000">
      <w:pPr>
        <w:ind w:firstLine="709" w:left="0"/>
        <w:jc w:val="both"/>
        <w:rPr>
          <w:sz w:val="32"/>
        </w:rPr>
      </w:pPr>
    </w:p>
    <w:p w14:paraId="BB000000">
      <w:pPr>
        <w:ind w:firstLine="709" w:left="0"/>
        <w:jc w:val="both"/>
        <w:rPr>
          <w:sz w:val="32"/>
        </w:rPr>
      </w:pPr>
    </w:p>
    <w:p w14:paraId="BC000000">
      <w:pPr>
        <w:ind w:firstLine="709" w:left="0"/>
        <w:jc w:val="both"/>
        <w:rPr>
          <w:sz w:val="32"/>
        </w:rPr>
      </w:pPr>
    </w:p>
    <w:p w14:paraId="BD000000">
      <w:pPr>
        <w:ind w:firstLine="709" w:left="0"/>
        <w:jc w:val="both"/>
        <w:rPr>
          <w:sz w:val="32"/>
        </w:rPr>
      </w:pPr>
    </w:p>
    <w:p w14:paraId="BE000000">
      <w:pPr>
        <w:ind w:firstLine="709" w:left="0"/>
        <w:jc w:val="both"/>
        <w:rPr>
          <w:sz w:val="32"/>
        </w:rPr>
      </w:pPr>
    </w:p>
    <w:p w14:paraId="BF000000">
      <w:pPr>
        <w:ind w:firstLine="709" w:left="0"/>
        <w:jc w:val="both"/>
        <w:rPr>
          <w:sz w:val="32"/>
        </w:rPr>
      </w:pPr>
    </w:p>
    <w:p w14:paraId="C0000000">
      <w:pPr>
        <w:ind w:firstLine="709" w:left="0"/>
        <w:jc w:val="both"/>
        <w:rPr>
          <w:sz w:val="32"/>
        </w:rPr>
      </w:pPr>
    </w:p>
    <w:p w14:paraId="C1000000">
      <w:pPr>
        <w:ind/>
        <w:jc w:val="both"/>
        <w:rPr>
          <w:sz w:val="32"/>
        </w:rPr>
      </w:pPr>
    </w:p>
    <w:sectPr>
      <w:headerReference r:id="rId1" w:type="default"/>
      <w:pgSz w:h="16838" w:orient="portrait" w:w="11906"/>
      <w:pgMar w:bottom="851" w:footer="709" w:gutter="0" w:header="709" w:left="1418"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sz w:val="24"/>
      </w:rPr>
      <w:fldChar w:fldCharType="begin"/>
    </w:r>
    <w:r>
      <w:rPr>
        <w:rStyle w:val="Style_1_ch"/>
        <w:sz w:val="24"/>
      </w:rPr>
      <w:instrText xml:space="preserve">PAGE </w:instrText>
    </w:r>
    <w:r>
      <w:rPr>
        <w:rStyle w:val="Style_1_ch"/>
        <w:sz w:val="24"/>
      </w:rPr>
      <w:fldChar w:fldCharType="separate"/>
    </w:r>
    <w:r>
      <w:rPr>
        <w:rStyle w:val="Style_1_ch"/>
        <w:sz w:val="24"/>
      </w:rPr>
      <w:fldChar w:fldCharType="end"/>
    </w:r>
  </w:p>
  <w:p w14:paraId="01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Default Paragraph Font"/>
    <w:link w:val="Style_6_ch"/>
  </w:style>
  <w:style w:styleId="Style_6_ch" w:type="character">
    <w:name w:val="Default Paragraph Font"/>
    <w:link w:val="Style_6"/>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fio9"/>
    <w:link w:val="Style_10_ch"/>
  </w:style>
  <w:style w:styleId="Style_10_ch" w:type="character">
    <w:name w:val="fio9"/>
    <w:link w:val="Style_10"/>
  </w:style>
  <w:style w:styleId="Style_11" w:type="paragraph">
    <w:name w:val="heading 3"/>
    <w:basedOn w:val="Style_4"/>
    <w:next w:val="Style_4"/>
    <w:link w:val="Style_11_ch"/>
    <w:uiPriority w:val="9"/>
    <w:qFormat/>
    <w:pPr>
      <w:keepNext w:val="1"/>
      <w:keepLines w:val="1"/>
      <w:spacing w:before="40"/>
      <w:ind/>
      <w:outlineLvl w:val="2"/>
    </w:pPr>
    <w:rPr>
      <w:rFonts w:asciiTheme="majorAscii" w:hAnsiTheme="majorHAnsi"/>
      <w:color w:themeColor="accent1" w:themeShade="7F" w:val="243F61"/>
      <w:sz w:val="24"/>
    </w:rPr>
  </w:style>
  <w:style w:styleId="Style_11_ch" w:type="character">
    <w:name w:val="heading 3"/>
    <w:basedOn w:val="Style_4_ch"/>
    <w:link w:val="Style_11"/>
    <w:rPr>
      <w:rFonts w:asciiTheme="majorAscii" w:hAnsiTheme="majorHAnsi"/>
      <w:color w:themeColor="accent1" w:themeShade="7F" w:val="243F61"/>
      <w:sz w:val="24"/>
    </w:rPr>
  </w:style>
  <w:style w:styleId="Style_12" w:type="paragraph">
    <w:name w:val="Strong"/>
    <w:link w:val="Style_12_ch"/>
    <w:rPr>
      <w:b w:val="1"/>
    </w:rPr>
  </w:style>
  <w:style w:styleId="Style_12_ch" w:type="character">
    <w:name w:val="Strong"/>
    <w:link w:val="Style_12"/>
    <w:rPr>
      <w:b w:val="1"/>
    </w:rPr>
  </w:style>
  <w:style w:styleId="Style_13" w:type="paragraph">
    <w:name w:val="fio21"/>
    <w:link w:val="Style_13_ch"/>
  </w:style>
  <w:style w:styleId="Style_13_ch" w:type="character">
    <w:name w:val="fio21"/>
    <w:link w:val="Style_13"/>
  </w:style>
  <w:style w:styleId="Style_14" w:type="paragraph">
    <w:name w:val="Заголовок1"/>
    <w:link w:val="Style_14_ch"/>
  </w:style>
  <w:style w:styleId="Style_14_ch" w:type="character">
    <w:name w:val="Заголовок1"/>
    <w:link w:val="Style_14"/>
  </w:style>
  <w:style w:styleId="Style_15" w:type="paragraph">
    <w:name w:val="fio11"/>
    <w:link w:val="Style_15_ch"/>
  </w:style>
  <w:style w:styleId="Style_15_ch" w:type="character">
    <w:name w:val="fio11"/>
    <w:link w:val="Style_15"/>
  </w:style>
  <w:style w:styleId="Style_16" w:type="paragraph">
    <w:name w:val="Emphasis"/>
    <w:link w:val="Style_16_ch"/>
    <w:rPr>
      <w:i w:val="1"/>
    </w:rPr>
  </w:style>
  <w:style w:styleId="Style_16_ch" w:type="character">
    <w:name w:val="Emphasis"/>
    <w:link w:val="Style_16"/>
    <w:rPr>
      <w:i w:val="1"/>
    </w:rPr>
  </w:style>
  <w:style w:styleId="Style_3" w:type="paragraph">
    <w:name w:val="Normal (Web)"/>
    <w:basedOn w:val="Style_4"/>
    <w:link w:val="Style_3_ch"/>
    <w:pPr>
      <w:spacing w:afterAutospacing="on" w:beforeAutospacing="on"/>
      <w:ind/>
    </w:pPr>
    <w:rPr>
      <w:sz w:val="24"/>
    </w:rPr>
  </w:style>
  <w:style w:styleId="Style_3_ch" w:type="character">
    <w:name w:val="Normal (Web)"/>
    <w:basedOn w:val="Style_4_ch"/>
    <w:link w:val="Style_3"/>
    <w:rPr>
      <w:sz w:val="24"/>
    </w:rPr>
  </w:style>
  <w:style w:styleId="Style_17" w:type="paragraph">
    <w:name w:val="fio4"/>
    <w:link w:val="Style_17_ch"/>
  </w:style>
  <w:style w:styleId="Style_17_ch" w:type="character">
    <w:name w:val="fio4"/>
    <w:link w:val="Style_17"/>
  </w:style>
  <w:style w:styleId="Style_18" w:type="paragraph">
    <w:name w:val="toc 3"/>
    <w:next w:val="Style_4"/>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nomer2"/>
    <w:link w:val="Style_19_ch"/>
  </w:style>
  <w:style w:styleId="Style_19_ch" w:type="character">
    <w:name w:val="nomer2"/>
    <w:link w:val="Style_19"/>
  </w:style>
  <w:style w:styleId="Style_2" w:type="paragraph">
    <w:name w:val="header"/>
    <w:basedOn w:val="Style_4"/>
    <w:link w:val="Style_2_ch"/>
    <w:pPr>
      <w:tabs>
        <w:tab w:leader="none" w:pos="4677" w:val="center"/>
        <w:tab w:leader="none" w:pos="9355" w:val="right"/>
      </w:tabs>
      <w:ind/>
    </w:pPr>
  </w:style>
  <w:style w:styleId="Style_2_ch" w:type="character">
    <w:name w:val="header"/>
    <w:basedOn w:val="Style_4_ch"/>
    <w:link w:val="Style_2"/>
  </w:style>
  <w:style w:styleId="Style_20" w:type="paragraph">
    <w:name w:val="fio10"/>
    <w:link w:val="Style_20_ch"/>
  </w:style>
  <w:style w:styleId="Style_20_ch" w:type="character">
    <w:name w:val="fio10"/>
    <w:link w:val="Style_20"/>
  </w:style>
  <w:style w:styleId="Style_21" w:type="paragraph">
    <w:name w:val="green"/>
    <w:basedOn w:val="Style_6"/>
    <w:link w:val="Style_21_ch"/>
  </w:style>
  <w:style w:styleId="Style_21_ch" w:type="character">
    <w:name w:val="green"/>
    <w:basedOn w:val="Style_6_ch"/>
    <w:link w:val="Style_21"/>
  </w:style>
  <w:style w:styleId="Style_22" w:type="paragraph">
    <w:name w:val="ConsPlusNormal"/>
    <w:link w:val="Style_22_ch"/>
    <w:rPr>
      <w:rFonts w:ascii="Arial" w:hAnsi="Arial"/>
    </w:rPr>
  </w:style>
  <w:style w:styleId="Style_22_ch" w:type="character">
    <w:name w:val="ConsPlusNormal"/>
    <w:link w:val="Style_22"/>
    <w:rPr>
      <w:rFonts w:ascii="Arial" w:hAnsi="Arial"/>
    </w:rPr>
  </w:style>
  <w:style w:styleId="Style_23" w:type="paragraph">
    <w:name w:val="heading 5"/>
    <w:next w:val="Style_4"/>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fio20"/>
    <w:link w:val="Style_24_ch"/>
  </w:style>
  <w:style w:styleId="Style_24_ch" w:type="character">
    <w:name w:val="fio20"/>
    <w:link w:val="Style_24"/>
  </w:style>
  <w:style w:styleId="Style_25" w:type="paragraph">
    <w:name w:val="heading 1"/>
    <w:basedOn w:val="Style_4"/>
    <w:next w:val="Style_4"/>
    <w:link w:val="Style_25_ch"/>
    <w:uiPriority w:val="9"/>
    <w:qFormat/>
    <w:pPr>
      <w:keepNext w:val="1"/>
      <w:keepLines w:val="1"/>
      <w:spacing w:before="240"/>
      <w:ind/>
      <w:outlineLvl w:val="0"/>
    </w:pPr>
    <w:rPr>
      <w:rFonts w:asciiTheme="majorAscii" w:hAnsiTheme="majorHAnsi"/>
      <w:color w:themeColor="accent1" w:themeShade="BF" w:val="366091"/>
      <w:sz w:val="32"/>
    </w:rPr>
  </w:style>
  <w:style w:styleId="Style_25_ch" w:type="character">
    <w:name w:val="heading 1"/>
    <w:basedOn w:val="Style_4_ch"/>
    <w:link w:val="Style_25"/>
    <w:rPr>
      <w:rFonts w:asciiTheme="majorAscii" w:hAnsiTheme="majorHAnsi"/>
      <w:color w:themeColor="accent1" w:themeShade="BF" w:val="366091"/>
      <w:sz w:val="32"/>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firstLine="851" w:left="0"/>
      <w:jc w:val="both"/>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4"/>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1" w:type="paragraph">
    <w:name w:val="page number"/>
    <w:basedOn w:val="Style_6"/>
    <w:link w:val="Style_1_ch"/>
  </w:style>
  <w:style w:styleId="Style_1_ch" w:type="character">
    <w:name w:val="page number"/>
    <w:basedOn w:val="Style_6_ch"/>
    <w:link w:val="Style_1"/>
  </w:style>
  <w:style w:styleId="Style_29" w:type="paragraph">
    <w:name w:val="fio8"/>
    <w:link w:val="Style_29_ch"/>
  </w:style>
  <w:style w:styleId="Style_29_ch" w:type="character">
    <w:name w:val="fio8"/>
    <w:link w:val="Style_29"/>
  </w:style>
  <w:style w:styleId="Style_30" w:type="paragraph">
    <w:name w:val="footer"/>
    <w:basedOn w:val="Style_4"/>
    <w:link w:val="Style_30_ch"/>
    <w:pPr>
      <w:tabs>
        <w:tab w:leader="none" w:pos="4677" w:val="center"/>
        <w:tab w:leader="none" w:pos="9355" w:val="right"/>
      </w:tabs>
      <w:ind/>
    </w:pPr>
  </w:style>
  <w:style w:styleId="Style_30_ch" w:type="character">
    <w:name w:val="footer"/>
    <w:basedOn w:val="Style_4_ch"/>
    <w:link w:val="Style_30"/>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fio23"/>
    <w:link w:val="Style_32_ch"/>
  </w:style>
  <w:style w:styleId="Style_32_ch" w:type="character">
    <w:name w:val="fio23"/>
    <w:link w:val="Style_32"/>
  </w:style>
  <w:style w:styleId="Style_33" w:type="paragraph">
    <w:name w:val="Balloon Text"/>
    <w:basedOn w:val="Style_4"/>
    <w:link w:val="Style_33_ch"/>
    <w:rPr>
      <w:rFonts w:ascii="Segoe UI" w:hAnsi="Segoe UI"/>
      <w:sz w:val="18"/>
    </w:rPr>
  </w:style>
  <w:style w:styleId="Style_33_ch" w:type="character">
    <w:name w:val="Balloon Text"/>
    <w:basedOn w:val="Style_4_ch"/>
    <w:link w:val="Style_33"/>
    <w:rPr>
      <w:rFonts w:ascii="Segoe UI" w:hAnsi="Segoe UI"/>
      <w:sz w:val="18"/>
    </w:rPr>
  </w:style>
  <w:style w:styleId="Style_34" w:type="paragraph">
    <w:name w:val="toc 9"/>
    <w:next w:val="Style_4"/>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data2"/>
    <w:link w:val="Style_35_ch"/>
  </w:style>
  <w:style w:styleId="Style_35_ch" w:type="character">
    <w:name w:val="data2"/>
    <w:link w:val="Style_35"/>
  </w:style>
  <w:style w:styleId="Style_36" w:type="paragraph">
    <w:name w:val="toc 8"/>
    <w:next w:val="Style_4"/>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37" w:type="paragraph">
    <w:name w:val="toc 5"/>
    <w:next w:val="Style_4"/>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fio7"/>
    <w:link w:val="Style_38_ch"/>
  </w:style>
  <w:style w:styleId="Style_38_ch" w:type="character">
    <w:name w:val="fio7"/>
    <w:link w:val="Style_38"/>
  </w:style>
  <w:style w:styleId="Style_39" w:type="paragraph">
    <w:name w:val="Subtitle"/>
    <w:next w:val="Style_4"/>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List Paragraph"/>
    <w:basedOn w:val="Style_4"/>
    <w:link w:val="Style_40_ch"/>
    <w:pPr>
      <w:ind w:firstLine="0" w:left="720"/>
      <w:contextualSpacing w:val="1"/>
    </w:pPr>
  </w:style>
  <w:style w:styleId="Style_40_ch" w:type="character">
    <w:name w:val="List Paragraph"/>
    <w:basedOn w:val="Style_4_ch"/>
    <w:link w:val="Style_40"/>
  </w:style>
  <w:style w:styleId="Style_41" w:type="paragraph">
    <w:name w:val="Title"/>
    <w:next w:val="Style_4"/>
    <w:link w:val="Style_41_ch"/>
    <w:uiPriority w:val="10"/>
    <w:qFormat/>
    <w:pPr>
      <w:spacing w:after="567" w:before="567"/>
      <w:ind/>
      <w:jc w:val="center"/>
    </w:pPr>
    <w:rPr>
      <w:rFonts w:ascii="XO Thames" w:hAnsi="XO Thames"/>
      <w:b w:val="1"/>
      <w:caps w:val="1"/>
      <w:sz w:val="40"/>
    </w:rPr>
  </w:style>
  <w:style w:styleId="Style_41_ch" w:type="character">
    <w:name w:val="Title"/>
    <w:link w:val="Style_41"/>
    <w:rPr>
      <w:rFonts w:ascii="XO Thames" w:hAnsi="XO Thames"/>
      <w:b w:val="1"/>
      <w:caps w:val="1"/>
      <w:sz w:val="40"/>
    </w:rPr>
  </w:style>
  <w:style w:styleId="Style_42" w:type="paragraph">
    <w:name w:val="heading 4"/>
    <w:next w:val="Style_4"/>
    <w:link w:val="Style_42_ch"/>
    <w:uiPriority w:val="9"/>
    <w:qFormat/>
    <w:pPr>
      <w:spacing w:after="120" w:before="120"/>
      <w:ind/>
      <w:jc w:val="both"/>
      <w:outlineLvl w:val="3"/>
    </w:pPr>
    <w:rPr>
      <w:rFonts w:ascii="XO Thames" w:hAnsi="XO Thames"/>
      <w:b w:val="1"/>
      <w:sz w:val="24"/>
    </w:rPr>
  </w:style>
  <w:style w:styleId="Style_42_ch" w:type="character">
    <w:name w:val="heading 4"/>
    <w:link w:val="Style_42"/>
    <w:rPr>
      <w:rFonts w:ascii="XO Thames" w:hAnsi="XO Thames"/>
      <w:b w:val="1"/>
      <w:sz w:val="24"/>
    </w:rPr>
  </w:style>
  <w:style w:styleId="Style_43" w:type="paragraph">
    <w:name w:val="heading 2"/>
    <w:basedOn w:val="Style_4"/>
    <w:link w:val="Style_43_ch"/>
    <w:uiPriority w:val="9"/>
    <w:qFormat/>
    <w:pPr>
      <w:spacing w:afterAutospacing="on" w:beforeAutospacing="on"/>
      <w:ind/>
      <w:outlineLvl w:val="1"/>
    </w:pPr>
    <w:rPr>
      <w:b w:val="1"/>
      <w:sz w:val="36"/>
    </w:rPr>
  </w:style>
  <w:style w:styleId="Style_43_ch" w:type="character">
    <w:name w:val="heading 2"/>
    <w:basedOn w:val="Style_4_ch"/>
    <w:link w:val="Style_43"/>
    <w:rPr>
      <w:b w:val="1"/>
      <w:sz w:val="36"/>
    </w:rPr>
  </w:style>
  <w:style w:default="1" w:styleId="Style_4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2023-08-04T06:35:45Z</dcterms:modified>
</cp:coreProperties>
</file>