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ED3E2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A20BB5">
        <w:rPr>
          <w:sz w:val="28"/>
          <w:szCs w:val="28"/>
        </w:rPr>
        <w:t>_________</w:t>
      </w:r>
      <w:r w:rsidR="003F42D2">
        <w:rPr>
          <w:sz w:val="28"/>
          <w:szCs w:val="28"/>
        </w:rPr>
        <w:t xml:space="preserve">    </w:t>
      </w:r>
      <w:r w:rsidR="00FC008B" w:rsidRPr="003F42D2">
        <w:rPr>
          <w:sz w:val="28"/>
          <w:szCs w:val="28"/>
        </w:rPr>
        <w:t xml:space="preserve">                                                            </w:t>
      </w:r>
      <w:r w:rsidR="001E4F93"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A20BB5">
        <w:rPr>
          <w:sz w:val="28"/>
          <w:szCs w:val="28"/>
        </w:rPr>
        <w:t>№______</w:t>
      </w:r>
      <w:r w:rsidR="00853157" w:rsidRPr="00ED3E21">
        <w:rPr>
          <w:sz w:val="28"/>
          <w:szCs w:val="28"/>
          <w:u w:val="single"/>
        </w:rPr>
        <w:t xml:space="preserve"> </w:t>
      </w:r>
      <w:r w:rsidR="00853157">
        <w:rPr>
          <w:sz w:val="28"/>
          <w:szCs w:val="28"/>
        </w:rPr>
        <w:t xml:space="preserve">    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3B6172" w:rsidP="00332C37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5D445F">
              <w:rPr>
                <w:i/>
                <w:sz w:val="26"/>
                <w:szCs w:val="26"/>
              </w:rPr>
              <w:t>утверждении муниципальной программы</w:t>
            </w:r>
            <w:r w:rsidR="00075920" w:rsidRPr="009C3464">
              <w:rPr>
                <w:i/>
                <w:sz w:val="26"/>
                <w:szCs w:val="26"/>
              </w:rPr>
              <w:t xml:space="preserve">  </w:t>
            </w:r>
            <w:r w:rsidR="00815656">
              <w:rPr>
                <w:i/>
                <w:sz w:val="26"/>
                <w:szCs w:val="26"/>
              </w:rPr>
              <w:t xml:space="preserve"> «</w:t>
            </w:r>
            <w:r w:rsidR="00261B7C">
              <w:rPr>
                <w:i/>
                <w:sz w:val="26"/>
                <w:szCs w:val="26"/>
              </w:rPr>
              <w:t>К</w:t>
            </w:r>
            <w:r w:rsidR="000B1655">
              <w:rPr>
                <w:i/>
                <w:sz w:val="26"/>
                <w:szCs w:val="26"/>
              </w:rPr>
              <w:t xml:space="preserve">апитальный ремонт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5D445F">
              <w:rPr>
                <w:i/>
                <w:sz w:val="26"/>
                <w:szCs w:val="26"/>
              </w:rPr>
              <w:t xml:space="preserve"> на</w:t>
            </w:r>
            <w:r w:rsidR="00F51CCF">
              <w:rPr>
                <w:i/>
                <w:sz w:val="26"/>
                <w:szCs w:val="26"/>
              </w:rPr>
              <w:t xml:space="preserve"> 20</w:t>
            </w:r>
            <w:r w:rsidR="00A20BB5">
              <w:rPr>
                <w:i/>
                <w:sz w:val="26"/>
                <w:szCs w:val="26"/>
              </w:rPr>
              <w:t>23</w:t>
            </w:r>
            <w:r w:rsidR="0051192B">
              <w:rPr>
                <w:i/>
                <w:sz w:val="26"/>
                <w:szCs w:val="26"/>
              </w:rPr>
              <w:t>-202</w:t>
            </w:r>
            <w:r w:rsidR="00A20BB5">
              <w:rPr>
                <w:i/>
                <w:sz w:val="26"/>
                <w:szCs w:val="26"/>
              </w:rPr>
              <w:t>5</w:t>
            </w:r>
            <w:r w:rsidR="0051192B">
              <w:rPr>
                <w:i/>
                <w:sz w:val="26"/>
                <w:szCs w:val="26"/>
              </w:rPr>
              <w:t xml:space="preserve"> годы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A20BB5" w:rsidRDefault="0002559C" w:rsidP="0002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0BB5" w:rsidRPr="00947BD9">
        <w:rPr>
          <w:sz w:val="28"/>
          <w:szCs w:val="28"/>
        </w:rPr>
        <w:t xml:space="preserve">В соответствии с постановлением администрации </w:t>
      </w:r>
      <w:proofErr w:type="gramStart"/>
      <w:r w:rsidR="00A20BB5" w:rsidRPr="00947BD9">
        <w:rPr>
          <w:sz w:val="28"/>
          <w:szCs w:val="28"/>
        </w:rPr>
        <w:t>г</w:t>
      </w:r>
      <w:proofErr w:type="gramEnd"/>
      <w:r w:rsidR="00A20BB5" w:rsidRPr="00947BD9">
        <w:rPr>
          <w:sz w:val="28"/>
          <w:szCs w:val="28"/>
        </w:rPr>
        <w:t>. Киржач от 25.08.2020 № 548 «О порядке разработки, реализации и оценки эффективности муниципальных программ муниципального образования город Киржач Киржачског</w:t>
      </w:r>
      <w:r w:rsidR="00A20BB5">
        <w:rPr>
          <w:sz w:val="28"/>
          <w:szCs w:val="28"/>
        </w:rPr>
        <w:t>о района Владимирской области»</w:t>
      </w:r>
      <w:r w:rsidR="00A20BB5" w:rsidRPr="00947BD9">
        <w:rPr>
          <w:sz w:val="28"/>
          <w:szCs w:val="28"/>
        </w:rPr>
        <w:t xml:space="preserve">   </w:t>
      </w:r>
    </w:p>
    <w:p w:rsidR="0002559C" w:rsidRPr="00947BD9" w:rsidRDefault="0002559C" w:rsidP="0002559C">
      <w:pPr>
        <w:jc w:val="both"/>
        <w:rPr>
          <w:sz w:val="28"/>
          <w:szCs w:val="28"/>
        </w:rPr>
      </w:pPr>
    </w:p>
    <w:p w:rsidR="00075920" w:rsidRDefault="00A20BB5" w:rsidP="00A20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75920">
        <w:rPr>
          <w:sz w:val="28"/>
          <w:szCs w:val="28"/>
        </w:rPr>
        <w:t>ПОСТАНОВЛЯЮ:</w:t>
      </w:r>
    </w:p>
    <w:p w:rsidR="0002559C" w:rsidRDefault="0002559C" w:rsidP="00A20BB5">
      <w:pPr>
        <w:jc w:val="both"/>
        <w:rPr>
          <w:sz w:val="28"/>
          <w:szCs w:val="28"/>
        </w:rPr>
      </w:pPr>
    </w:p>
    <w:p w:rsidR="00853157" w:rsidRDefault="00853157" w:rsidP="003B6172">
      <w:pPr>
        <w:ind w:right="180"/>
        <w:jc w:val="both"/>
        <w:rPr>
          <w:sz w:val="28"/>
          <w:szCs w:val="28"/>
        </w:rPr>
      </w:pPr>
    </w:p>
    <w:p w:rsidR="00507E3C" w:rsidRDefault="00853157" w:rsidP="003B6172">
      <w:pPr>
        <w:ind w:right="180"/>
        <w:jc w:val="both"/>
        <w:rPr>
          <w:sz w:val="28"/>
          <w:szCs w:val="28"/>
        </w:rPr>
      </w:pPr>
      <w:r>
        <w:t xml:space="preserve">            </w:t>
      </w:r>
      <w:r w:rsidR="00075920" w:rsidRPr="00C2136E">
        <w:rPr>
          <w:b/>
        </w:rPr>
        <w:t>1</w:t>
      </w:r>
      <w:r w:rsidR="00A660CE">
        <w:t>.</w:t>
      </w:r>
      <w:r w:rsidR="00261B7C">
        <w:t xml:space="preserve"> </w:t>
      </w:r>
      <w:r w:rsidR="005D445F">
        <w:rPr>
          <w:sz w:val="28"/>
        </w:rPr>
        <w:t>Утвердить муниципальную программу</w:t>
      </w:r>
      <w:r>
        <w:rPr>
          <w:sz w:val="28"/>
        </w:rPr>
        <w:t xml:space="preserve"> </w:t>
      </w:r>
      <w:r w:rsidR="00507E3C">
        <w:rPr>
          <w:sz w:val="28"/>
          <w:szCs w:val="28"/>
        </w:rPr>
        <w:t xml:space="preserve"> </w:t>
      </w:r>
      <w:r>
        <w:rPr>
          <w:sz w:val="28"/>
          <w:szCs w:val="28"/>
        </w:rPr>
        <w:t>«Капитальный   ремонт  м</w:t>
      </w:r>
      <w:r w:rsidR="00507E3C">
        <w:rPr>
          <w:sz w:val="28"/>
          <w:szCs w:val="28"/>
        </w:rPr>
        <w:t>униципального жилищ</w:t>
      </w:r>
      <w:r>
        <w:rPr>
          <w:sz w:val="28"/>
          <w:szCs w:val="28"/>
        </w:rPr>
        <w:t xml:space="preserve">ного фонда города </w:t>
      </w:r>
      <w:r w:rsidR="00507E3C" w:rsidRPr="003F42D2">
        <w:rPr>
          <w:sz w:val="28"/>
          <w:szCs w:val="28"/>
        </w:rPr>
        <w:t>Киржач</w:t>
      </w:r>
      <w:r w:rsidR="00507E3C">
        <w:rPr>
          <w:sz w:val="28"/>
          <w:szCs w:val="28"/>
        </w:rPr>
        <w:t xml:space="preserve"> на 20</w:t>
      </w:r>
      <w:r w:rsidR="00A20BB5">
        <w:rPr>
          <w:sz w:val="28"/>
          <w:szCs w:val="28"/>
        </w:rPr>
        <w:t>23</w:t>
      </w:r>
      <w:r w:rsidR="00507E3C">
        <w:rPr>
          <w:sz w:val="28"/>
          <w:szCs w:val="28"/>
        </w:rPr>
        <w:t>-202</w:t>
      </w:r>
      <w:r w:rsidR="00A20BB5">
        <w:rPr>
          <w:sz w:val="28"/>
          <w:szCs w:val="28"/>
        </w:rPr>
        <w:t>5</w:t>
      </w:r>
      <w:r w:rsidR="00507E3C">
        <w:rPr>
          <w:sz w:val="28"/>
          <w:szCs w:val="28"/>
        </w:rPr>
        <w:t xml:space="preserve"> годы</w:t>
      </w:r>
      <w:r w:rsidR="00507E3C" w:rsidRPr="003F42D2">
        <w:rPr>
          <w:sz w:val="28"/>
          <w:szCs w:val="28"/>
        </w:rPr>
        <w:t>»</w:t>
      </w:r>
      <w:r w:rsidR="005D445F">
        <w:rPr>
          <w:sz w:val="28"/>
          <w:szCs w:val="28"/>
        </w:rPr>
        <w:t xml:space="preserve"> согласно приложению.</w:t>
      </w:r>
    </w:p>
    <w:p w:rsidR="00853157" w:rsidRDefault="00853157" w:rsidP="003B617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2564">
        <w:rPr>
          <w:sz w:val="28"/>
          <w:szCs w:val="28"/>
        </w:rPr>
        <w:t xml:space="preserve">2. Считать утратившим силу </w:t>
      </w:r>
      <w:r>
        <w:rPr>
          <w:sz w:val="28"/>
          <w:szCs w:val="28"/>
        </w:rPr>
        <w:t>постановление главы</w:t>
      </w:r>
      <w:r w:rsidR="005C676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5C676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Киржач от </w:t>
      </w:r>
      <w:r w:rsidR="00A20BB5">
        <w:rPr>
          <w:sz w:val="28"/>
          <w:szCs w:val="28"/>
        </w:rPr>
        <w:t>11.10.2018</w:t>
      </w:r>
      <w:r>
        <w:rPr>
          <w:sz w:val="28"/>
          <w:szCs w:val="28"/>
        </w:rPr>
        <w:t>г. №</w:t>
      </w:r>
      <w:r w:rsidR="009D6575">
        <w:rPr>
          <w:sz w:val="28"/>
          <w:szCs w:val="28"/>
        </w:rPr>
        <w:t xml:space="preserve"> </w:t>
      </w:r>
      <w:r w:rsidR="00A20BB5">
        <w:rPr>
          <w:sz w:val="28"/>
          <w:szCs w:val="28"/>
        </w:rPr>
        <w:t>967</w:t>
      </w:r>
      <w:r>
        <w:rPr>
          <w:sz w:val="28"/>
          <w:szCs w:val="28"/>
        </w:rPr>
        <w:t xml:space="preserve"> «Об утверждении муниципальной программы «Капитальный ремонт муниципального жилищного фонда </w:t>
      </w:r>
      <w:r w:rsidR="00A20BB5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Киржач на 201</w:t>
      </w:r>
      <w:r w:rsidR="00A20BB5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A20BB5">
        <w:rPr>
          <w:sz w:val="28"/>
          <w:szCs w:val="28"/>
        </w:rPr>
        <w:t>4</w:t>
      </w:r>
      <w:r>
        <w:rPr>
          <w:sz w:val="28"/>
          <w:szCs w:val="28"/>
        </w:rPr>
        <w:t>годы»</w:t>
      </w:r>
      <w:r w:rsidR="00A20BB5">
        <w:rPr>
          <w:sz w:val="28"/>
          <w:szCs w:val="28"/>
        </w:rPr>
        <w:t>.</w:t>
      </w:r>
    </w:p>
    <w:p w:rsidR="00075920" w:rsidRDefault="002C2564" w:rsidP="003B6172">
      <w:pPr>
        <w:ind w:right="-1"/>
        <w:jc w:val="both"/>
      </w:pPr>
      <w:r>
        <w:rPr>
          <w:sz w:val="28"/>
          <w:szCs w:val="28"/>
        </w:rPr>
        <w:t xml:space="preserve">          </w:t>
      </w:r>
      <w:r w:rsidR="0064453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075920">
        <w:rPr>
          <w:sz w:val="28"/>
          <w:szCs w:val="28"/>
        </w:rPr>
        <w:t>Контроль за</w:t>
      </w:r>
      <w:proofErr w:type="gramEnd"/>
      <w:r w:rsidR="00075920">
        <w:rPr>
          <w:sz w:val="28"/>
          <w:szCs w:val="28"/>
        </w:rPr>
        <w:t xml:space="preserve"> исполнением настоящего постановления </w:t>
      </w:r>
      <w:r w:rsidR="00644533">
        <w:rPr>
          <w:sz w:val="28"/>
          <w:szCs w:val="28"/>
        </w:rPr>
        <w:t>возложить</w:t>
      </w:r>
      <w:r w:rsidR="008975D6">
        <w:rPr>
          <w:sz w:val="28"/>
          <w:szCs w:val="28"/>
        </w:rPr>
        <w:t xml:space="preserve"> 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</w:t>
      </w:r>
      <w:r w:rsidR="00000F9F">
        <w:rPr>
          <w:sz w:val="28"/>
          <w:szCs w:val="28"/>
        </w:rPr>
        <w:t xml:space="preserve">города Киржач </w:t>
      </w:r>
      <w:r w:rsidR="00F51CCF">
        <w:rPr>
          <w:sz w:val="28"/>
          <w:szCs w:val="28"/>
        </w:rPr>
        <w:t>по вопросам жизнеобеспечения</w:t>
      </w:r>
      <w:r w:rsidR="00075920">
        <w:rPr>
          <w:sz w:val="28"/>
          <w:szCs w:val="28"/>
        </w:rPr>
        <w:t>.</w:t>
      </w:r>
    </w:p>
    <w:p w:rsidR="001E4F93" w:rsidRDefault="002C2564" w:rsidP="003B6172">
      <w:pPr>
        <w:ind w:right="-1"/>
        <w:jc w:val="both"/>
        <w:rPr>
          <w:sz w:val="28"/>
          <w:szCs w:val="28"/>
        </w:rPr>
      </w:pPr>
      <w:r>
        <w:t xml:space="preserve">            </w:t>
      </w:r>
      <w:r w:rsidR="00644533">
        <w:rPr>
          <w:sz w:val="28"/>
          <w:szCs w:val="28"/>
        </w:rPr>
        <w:t>4</w:t>
      </w:r>
      <w:r w:rsidR="005D445F">
        <w:rPr>
          <w:sz w:val="28"/>
          <w:szCs w:val="28"/>
        </w:rPr>
        <w:t xml:space="preserve">. </w:t>
      </w:r>
      <w:r w:rsidR="00075920">
        <w:rPr>
          <w:sz w:val="28"/>
          <w:szCs w:val="28"/>
        </w:rPr>
        <w:t xml:space="preserve">Настоящее постановление вступает в силу </w:t>
      </w:r>
      <w:r w:rsidR="00C16D03">
        <w:rPr>
          <w:sz w:val="28"/>
          <w:szCs w:val="28"/>
        </w:rPr>
        <w:t xml:space="preserve">с  </w:t>
      </w:r>
      <w:r w:rsidR="00912AF8">
        <w:rPr>
          <w:sz w:val="28"/>
          <w:szCs w:val="28"/>
        </w:rPr>
        <w:t>01.01.20</w:t>
      </w:r>
      <w:r w:rsidR="00A20BB5">
        <w:rPr>
          <w:sz w:val="28"/>
          <w:szCs w:val="28"/>
        </w:rPr>
        <w:t>23</w:t>
      </w:r>
      <w:r w:rsidR="00912AF8">
        <w:rPr>
          <w:sz w:val="28"/>
          <w:szCs w:val="28"/>
        </w:rPr>
        <w:t>г.</w:t>
      </w:r>
      <w:r w:rsidR="00C16D03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 xml:space="preserve">и </w:t>
      </w:r>
      <w:r w:rsidR="001E4F93">
        <w:rPr>
          <w:sz w:val="28"/>
          <w:szCs w:val="28"/>
        </w:rPr>
        <w:t>подлежит официальному опубликованию.</w:t>
      </w:r>
    </w:p>
    <w:p w:rsidR="001E4F93" w:rsidRDefault="001E4F93" w:rsidP="003B6172">
      <w:pPr>
        <w:ind w:right="180"/>
        <w:jc w:val="both"/>
        <w:rPr>
          <w:sz w:val="28"/>
          <w:szCs w:val="28"/>
        </w:rPr>
      </w:pPr>
    </w:p>
    <w:p w:rsidR="00075920" w:rsidRDefault="00075920" w:rsidP="003B6172">
      <w:pPr>
        <w:ind w:right="-1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7063AB" w:rsidP="0007592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</w:t>
      </w:r>
      <w:r w:rsidR="001E4F93">
        <w:rPr>
          <w:sz w:val="28"/>
          <w:szCs w:val="28"/>
        </w:rPr>
        <w:t>администрации</w:t>
      </w:r>
      <w:r w:rsidR="00075920">
        <w:rPr>
          <w:sz w:val="28"/>
          <w:szCs w:val="28"/>
        </w:rPr>
        <w:t xml:space="preserve">                                                                    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3B6172" w:rsidRDefault="003B6172" w:rsidP="003B6172">
      <w:pPr>
        <w:ind w:right="180"/>
        <w:jc w:val="both"/>
        <w:rPr>
          <w:sz w:val="22"/>
          <w:szCs w:val="22"/>
          <w:u w:val="single"/>
        </w:rPr>
      </w:pPr>
      <w:r w:rsidRPr="001865C2">
        <w:rPr>
          <w:sz w:val="22"/>
          <w:szCs w:val="22"/>
        </w:rPr>
        <w:t xml:space="preserve">С текстом актуальной редакции муниципальной программы </w:t>
      </w:r>
      <w:r w:rsidRPr="003B6172">
        <w:rPr>
          <w:sz w:val="22"/>
          <w:szCs w:val="22"/>
        </w:rPr>
        <w:t>«Капитальный   ремонт  муниципального жилищного фонда города Киржач на 20</w:t>
      </w:r>
      <w:r w:rsidR="00A20BB5">
        <w:rPr>
          <w:sz w:val="22"/>
          <w:szCs w:val="22"/>
        </w:rPr>
        <w:t>23</w:t>
      </w:r>
      <w:r w:rsidRPr="003B6172">
        <w:rPr>
          <w:sz w:val="22"/>
          <w:szCs w:val="22"/>
        </w:rPr>
        <w:t>-202</w:t>
      </w:r>
      <w:r w:rsidR="00A20BB5">
        <w:rPr>
          <w:sz w:val="22"/>
          <w:szCs w:val="22"/>
        </w:rPr>
        <w:t>25</w:t>
      </w:r>
      <w:r w:rsidRPr="003B6172">
        <w:rPr>
          <w:sz w:val="22"/>
          <w:szCs w:val="22"/>
        </w:rPr>
        <w:t xml:space="preserve"> годы»</w:t>
      </w:r>
      <w:r>
        <w:rPr>
          <w:sz w:val="28"/>
          <w:szCs w:val="28"/>
        </w:rPr>
        <w:t xml:space="preserve"> </w:t>
      </w:r>
      <w:r w:rsidRPr="001865C2">
        <w:rPr>
          <w:sz w:val="22"/>
          <w:szCs w:val="22"/>
        </w:rPr>
        <w:t xml:space="preserve"> можно ознакомиться на официальном сайте</w:t>
      </w:r>
      <w:r w:rsidR="002E12B2">
        <w:rPr>
          <w:sz w:val="22"/>
          <w:szCs w:val="22"/>
        </w:rPr>
        <w:t xml:space="preserve"> администрации</w:t>
      </w:r>
      <w:r w:rsidRPr="001865C2">
        <w:rPr>
          <w:sz w:val="22"/>
          <w:szCs w:val="22"/>
        </w:rPr>
        <w:t xml:space="preserve"> </w:t>
      </w:r>
      <w:proofErr w:type="gramStart"/>
      <w:r w:rsidRPr="001865C2">
        <w:rPr>
          <w:sz w:val="22"/>
          <w:szCs w:val="22"/>
        </w:rPr>
        <w:t>г</w:t>
      </w:r>
      <w:proofErr w:type="gramEnd"/>
      <w:r w:rsidRPr="001865C2">
        <w:rPr>
          <w:sz w:val="22"/>
          <w:szCs w:val="22"/>
        </w:rPr>
        <w:t xml:space="preserve">. Киржач </w:t>
      </w:r>
      <w:hyperlink r:id="rId9" w:history="1">
        <w:r w:rsidRPr="00C86D8B">
          <w:rPr>
            <w:rStyle w:val="af"/>
            <w:sz w:val="22"/>
            <w:szCs w:val="22"/>
            <w:lang w:val="en-US"/>
          </w:rPr>
          <w:t>www</w:t>
        </w:r>
        <w:r w:rsidRPr="00C86D8B">
          <w:rPr>
            <w:rStyle w:val="af"/>
            <w:sz w:val="22"/>
            <w:szCs w:val="22"/>
          </w:rPr>
          <w:t>.</w:t>
        </w:r>
        <w:proofErr w:type="spellStart"/>
        <w:r w:rsidRPr="00C86D8B">
          <w:rPr>
            <w:rStyle w:val="af"/>
            <w:sz w:val="22"/>
            <w:szCs w:val="22"/>
            <w:lang w:val="en-US"/>
          </w:rPr>
          <w:t>gorodkirzhach</w:t>
        </w:r>
        <w:proofErr w:type="spellEnd"/>
        <w:r w:rsidRPr="00C86D8B">
          <w:rPr>
            <w:rStyle w:val="af"/>
            <w:sz w:val="22"/>
            <w:szCs w:val="22"/>
          </w:rPr>
          <w:t>.</w:t>
        </w:r>
        <w:proofErr w:type="spellStart"/>
        <w:r w:rsidRPr="00C86D8B">
          <w:rPr>
            <w:rStyle w:val="af"/>
            <w:sz w:val="22"/>
            <w:szCs w:val="22"/>
            <w:lang w:val="en-US"/>
          </w:rPr>
          <w:t>ru</w:t>
        </w:r>
        <w:proofErr w:type="spellEnd"/>
      </w:hyperlink>
    </w:p>
    <w:p w:rsidR="003B6172" w:rsidRDefault="003B6172" w:rsidP="003B6172">
      <w:pPr>
        <w:ind w:right="180"/>
        <w:jc w:val="both"/>
        <w:rPr>
          <w:sz w:val="22"/>
          <w:szCs w:val="22"/>
          <w:u w:val="single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p w:rsidR="00B530D7" w:rsidRPr="00B530D7" w:rsidRDefault="00B530D7" w:rsidP="00F51CC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B530D7" w:rsidRPr="00B530D7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B530D7" w:rsidRPr="00B530D7" w:rsidRDefault="00B76CB4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="00B530D7" w:rsidRPr="00B530D7">
        <w:rPr>
          <w:sz w:val="22"/>
          <w:szCs w:val="22"/>
        </w:rPr>
        <w:t xml:space="preserve">  Киржач</w:t>
      </w:r>
    </w:p>
    <w:p w:rsidR="00B530D7" w:rsidRPr="00A504D8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 xml:space="preserve">от </w:t>
      </w:r>
      <w:r w:rsidR="005C676B">
        <w:rPr>
          <w:sz w:val="22"/>
          <w:szCs w:val="22"/>
        </w:rPr>
        <w:t>_________</w:t>
      </w:r>
      <w:r w:rsidRPr="00B530D7">
        <w:rPr>
          <w:sz w:val="22"/>
          <w:szCs w:val="22"/>
        </w:rPr>
        <w:t xml:space="preserve">№ </w:t>
      </w:r>
      <w:r w:rsidR="005C676B">
        <w:rPr>
          <w:sz w:val="22"/>
          <w:szCs w:val="22"/>
        </w:rPr>
        <w:t>______</w:t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921108" w:rsidP="00B530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2C552E" w:rsidRDefault="00B530D7" w:rsidP="00E5545D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Капитальный ремонт </w:t>
      </w:r>
      <w:r w:rsidR="00E5545D">
        <w:rPr>
          <w:sz w:val="28"/>
          <w:szCs w:val="22"/>
        </w:rPr>
        <w:t xml:space="preserve">муниципального жилищного фонда </w:t>
      </w:r>
      <w:r w:rsidR="002C552E">
        <w:rPr>
          <w:sz w:val="28"/>
          <w:szCs w:val="22"/>
        </w:rPr>
        <w:t xml:space="preserve">города </w:t>
      </w:r>
      <w:r w:rsidR="00E5545D">
        <w:rPr>
          <w:sz w:val="28"/>
          <w:szCs w:val="22"/>
        </w:rPr>
        <w:t xml:space="preserve"> Киржач</w:t>
      </w:r>
      <w:r w:rsidR="006B342A">
        <w:rPr>
          <w:sz w:val="28"/>
          <w:szCs w:val="22"/>
        </w:rPr>
        <w:t xml:space="preserve"> </w:t>
      </w:r>
    </w:p>
    <w:p w:rsidR="00B530D7" w:rsidRPr="00B530D7" w:rsidRDefault="002C552E" w:rsidP="00E5545D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</w:t>
      </w:r>
      <w:r w:rsidR="00332C37">
        <w:rPr>
          <w:sz w:val="28"/>
          <w:szCs w:val="22"/>
        </w:rPr>
        <w:t>23</w:t>
      </w:r>
      <w:r w:rsidR="0051192B">
        <w:rPr>
          <w:sz w:val="28"/>
          <w:szCs w:val="22"/>
        </w:rPr>
        <w:t>-202</w:t>
      </w:r>
      <w:r w:rsidR="00332C37">
        <w:rPr>
          <w:sz w:val="28"/>
          <w:szCs w:val="22"/>
        </w:rPr>
        <w:t>5</w:t>
      </w:r>
      <w:r w:rsidR="0051192B">
        <w:rPr>
          <w:sz w:val="28"/>
          <w:szCs w:val="22"/>
        </w:rPr>
        <w:t xml:space="preserve"> годы</w:t>
      </w:r>
      <w:r w:rsidR="00B530D7" w:rsidRPr="00B530D7">
        <w:rPr>
          <w:sz w:val="28"/>
          <w:szCs w:val="22"/>
        </w:rPr>
        <w:t>»</w:t>
      </w:r>
    </w:p>
    <w:p w:rsidR="00B530D7" w:rsidRPr="00B530D7" w:rsidRDefault="00B530D7" w:rsidP="0051192B">
      <w:pPr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Pr="00B530D7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Pr="00B530D7" w:rsidRDefault="0051192B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  <w:rPr>
          <w:b/>
        </w:rPr>
      </w:pPr>
    </w:p>
    <w:p w:rsidR="00B530D7" w:rsidRPr="00853157" w:rsidRDefault="00B530D7" w:rsidP="00B530D7">
      <w:pPr>
        <w:jc w:val="center"/>
        <w:rPr>
          <w:b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="006B342A">
        <w:rPr>
          <w:b w:val="0"/>
        </w:rPr>
        <w:t xml:space="preserve"> </w:t>
      </w:r>
      <w:r w:rsidR="002C552E">
        <w:rPr>
          <w:b w:val="0"/>
        </w:rPr>
        <w:t>НА 20</w:t>
      </w:r>
      <w:r w:rsidR="00332C37">
        <w:rPr>
          <w:b w:val="0"/>
        </w:rPr>
        <w:t>23</w:t>
      </w:r>
      <w:r w:rsidR="0051192B" w:rsidRPr="0051192B">
        <w:rPr>
          <w:b w:val="0"/>
        </w:rPr>
        <w:t>-202</w:t>
      </w:r>
      <w:r w:rsidR="00332C37">
        <w:rPr>
          <w:b w:val="0"/>
        </w:rPr>
        <w:t>5</w:t>
      </w:r>
      <w:r w:rsidR="0051192B" w:rsidRPr="0051192B">
        <w:rPr>
          <w:b w:val="0"/>
        </w:rPr>
        <w:t xml:space="preserve"> ГОДЫ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="002C2564">
        <w:rPr>
          <w:b/>
          <w:sz w:val="28"/>
          <w:szCs w:val="28"/>
        </w:rPr>
        <w:t xml:space="preserve">. Паспорт </w:t>
      </w:r>
      <w:r w:rsidR="00360C76" w:rsidRPr="00B530D7">
        <w:rPr>
          <w:b/>
          <w:sz w:val="28"/>
          <w:szCs w:val="28"/>
        </w:rPr>
        <w:t>муниципальной</w:t>
      </w:r>
      <w:r w:rsidRPr="00B530D7">
        <w:rPr>
          <w:b/>
          <w:sz w:val="28"/>
          <w:szCs w:val="28"/>
        </w:rPr>
        <w:t xml:space="preserve"> программы</w:t>
      </w:r>
    </w:p>
    <w:p w:rsidR="00BE2E75" w:rsidRPr="00B530D7" w:rsidRDefault="004D288D" w:rsidP="00BE2E7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 w:rsidRPr="00B530D7">
        <w:t xml:space="preserve">«Капитальный 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r w:rsidRPr="00B530D7">
        <w:t>Киржач</w:t>
      </w:r>
      <w:r w:rsidR="006B342A">
        <w:t xml:space="preserve"> </w:t>
      </w:r>
      <w:r w:rsidR="002C552E">
        <w:t>на 20</w:t>
      </w:r>
      <w:r w:rsidR="00332C37">
        <w:t>23</w:t>
      </w:r>
      <w:r w:rsidR="0051192B" w:rsidRPr="0051192B">
        <w:t>-202</w:t>
      </w:r>
      <w:r w:rsidR="00332C37">
        <w:t>5</w:t>
      </w:r>
      <w:r w:rsidR="0051192B" w:rsidRPr="0051192B">
        <w:t xml:space="preserve"> годы</w:t>
      </w:r>
      <w:r w:rsidRPr="00B530D7">
        <w:t>»</w:t>
      </w:r>
      <w:r w:rsidR="00BE2E75" w:rsidRPr="00B530D7">
        <w:rPr>
          <w:sz w:val="24"/>
          <w:szCs w:val="24"/>
        </w:rPr>
        <w:t xml:space="preserve"> </w:t>
      </w:r>
    </w:p>
    <w:p w:rsidR="00F277C4" w:rsidRPr="00474947" w:rsidRDefault="00F277C4" w:rsidP="00B530D7">
      <w:pPr>
        <w:pStyle w:val="ConsPlusNormal"/>
        <w:ind w:firstLine="0"/>
        <w:outlineLvl w:val="2"/>
      </w:pPr>
      <w:r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332C37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 w:rsidR="00F51CCF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на 20</w:t>
            </w:r>
            <w:r w:rsidR="00332C37">
              <w:rPr>
                <w:sz w:val="27"/>
                <w:szCs w:val="27"/>
              </w:rPr>
              <w:t>23</w:t>
            </w:r>
            <w:r w:rsidR="0051192B" w:rsidRPr="0051192B">
              <w:rPr>
                <w:sz w:val="27"/>
                <w:szCs w:val="27"/>
              </w:rPr>
              <w:t>-202</w:t>
            </w:r>
            <w:r w:rsidR="00332C37">
              <w:rPr>
                <w:sz w:val="27"/>
                <w:szCs w:val="27"/>
              </w:rPr>
              <w:t>5</w:t>
            </w:r>
            <w:r w:rsidR="0051192B" w:rsidRPr="0051192B">
              <w:rPr>
                <w:sz w:val="27"/>
                <w:szCs w:val="27"/>
              </w:rPr>
              <w:t xml:space="preserve">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24F84" w:rsidP="00784C1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отремонтированных площадей </w:t>
            </w:r>
            <w:r w:rsidR="0004243C">
              <w:rPr>
                <w:sz w:val="27"/>
                <w:szCs w:val="27"/>
              </w:rPr>
              <w:t xml:space="preserve"> муниципального</w:t>
            </w:r>
            <w:r w:rsidR="00F43E03">
              <w:rPr>
                <w:sz w:val="27"/>
                <w:szCs w:val="27"/>
              </w:rPr>
              <w:t xml:space="preserve"> жилищного фонда</w:t>
            </w:r>
            <w:r w:rsidR="00784C16">
              <w:rPr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20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Pr="00776786" w:rsidRDefault="0051192B" w:rsidP="00332C3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85BFA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Киржач,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900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уб., в том числе:</w:t>
            </w:r>
          </w:p>
          <w:p w:rsidR="002C552E" w:rsidRDefault="002C2564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этап-</w:t>
            </w:r>
            <w:r w:rsidR="002C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00,0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этап-  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этап-  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рублей</w:t>
            </w:r>
          </w:p>
          <w:p w:rsidR="00784C16" w:rsidRDefault="00784C16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52E" w:rsidRPr="00776786" w:rsidRDefault="002C552E" w:rsidP="00AF100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2954D9" w:rsidRPr="006B342A" w:rsidRDefault="002954D9" w:rsidP="002954D9">
      <w:pPr>
        <w:jc w:val="center"/>
        <w:rPr>
          <w:b/>
          <w:sz w:val="14"/>
          <w:szCs w:val="28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332C37" w:rsidRDefault="00332C37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276"/>
        <w:gridCol w:w="1843"/>
        <w:gridCol w:w="2268"/>
        <w:gridCol w:w="3544"/>
      </w:tblGrid>
      <w:tr w:rsidR="0044222F" w:rsidTr="0044222F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Pr="00C16D03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Источники и объемы </w:t>
            </w:r>
            <w:proofErr w:type="gramStart"/>
            <w:r>
              <w:rPr>
                <w:szCs w:val="28"/>
              </w:rPr>
              <w:t>финансирова-ния</w:t>
            </w:r>
            <w:proofErr w:type="gramEnd"/>
          </w:p>
          <w:p w:rsidR="0044222F" w:rsidRPr="00C16D03" w:rsidRDefault="0044222F" w:rsidP="00F43E0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бюджет 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</w:p>
        </w:tc>
      </w:tr>
      <w:tr w:rsidR="00332C37" w:rsidTr="00332C37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79551D" w:rsidRDefault="00332C37" w:rsidP="00F43E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79551D" w:rsidRDefault="00332C37" w:rsidP="00332C37">
            <w:r>
              <w:t>2023-2025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79551D" w:rsidRDefault="00332C37" w:rsidP="00332C37">
            <w:pPr>
              <w:jc w:val="center"/>
            </w:pPr>
            <w: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Default="00332C37" w:rsidP="00332C37">
            <w:pPr>
              <w:jc w:val="center"/>
            </w:pPr>
            <w: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Default="00332C37" w:rsidP="008E2BDF">
            <w:pPr>
              <w:jc w:val="center"/>
            </w:pPr>
            <w:r>
              <w:t>2025</w:t>
            </w:r>
          </w:p>
        </w:tc>
      </w:tr>
      <w:tr w:rsidR="00332C37" w:rsidTr="00332C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79551D" w:rsidRDefault="00332C37" w:rsidP="00AF1008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>бюджет 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r w:rsidRPr="007955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79551D" w:rsidRDefault="00332C37" w:rsidP="00AF1008">
            <w:pPr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79551D" w:rsidRDefault="00332C37" w:rsidP="008E2BDF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Default="00332C37" w:rsidP="00AF1008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Default="00332C37" w:rsidP="008E2BDF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</w:tbl>
    <w:p w:rsidR="00F43E03" w:rsidRDefault="00F43E03" w:rsidP="00F43E03">
      <w:pPr>
        <w:ind w:firstLine="720"/>
        <w:jc w:val="center"/>
        <w:rPr>
          <w:b/>
          <w:sz w:val="28"/>
          <w:szCs w:val="28"/>
        </w:rPr>
      </w:pPr>
    </w:p>
    <w:p w:rsidR="002954D9" w:rsidRPr="00F51CCF" w:rsidRDefault="002954D9" w:rsidP="00F43E03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EE1998" w:rsidRPr="00F51CCF" w:rsidTr="00B9529B">
        <w:tc>
          <w:tcPr>
            <w:tcW w:w="9435" w:type="dxa"/>
            <w:gridSpan w:val="2"/>
          </w:tcPr>
          <w:p w:rsidR="00EE1998" w:rsidRPr="00F51CCF" w:rsidRDefault="00EE1998" w:rsidP="00EE1998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F43E03" w:rsidRPr="00F51CCF" w:rsidRDefault="00F43E03" w:rsidP="00EE19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1</w:t>
            </w:r>
          </w:p>
        </w:tc>
        <w:tc>
          <w:tcPr>
            <w:tcW w:w="7200" w:type="dxa"/>
          </w:tcPr>
          <w:p w:rsidR="002954D9" w:rsidRPr="00F51CCF" w:rsidRDefault="002954D9" w:rsidP="00F43E03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сохранность </w:t>
            </w:r>
            <w:r w:rsidR="00F43E03" w:rsidRPr="00F51CCF">
              <w:rPr>
                <w:sz w:val="27"/>
                <w:szCs w:val="27"/>
              </w:rPr>
              <w:t>муниципального жилищного фонда</w:t>
            </w: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2</w:t>
            </w:r>
          </w:p>
        </w:tc>
        <w:tc>
          <w:tcPr>
            <w:tcW w:w="7200" w:type="dxa"/>
          </w:tcPr>
          <w:p w:rsidR="002954D9" w:rsidRPr="00F51CCF" w:rsidRDefault="002954D9" w:rsidP="002954D9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FB2D97" w:rsidRPr="00F51CCF" w:rsidTr="00B9529B">
        <w:trPr>
          <w:trHeight w:val="345"/>
        </w:trPr>
        <w:tc>
          <w:tcPr>
            <w:tcW w:w="2235" w:type="dxa"/>
          </w:tcPr>
          <w:p w:rsidR="00FB2D97" w:rsidRPr="00F51CCF" w:rsidRDefault="00FB2D97" w:rsidP="00F43E03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 w:rsidR="00F43E03" w:rsidRPr="00F51CCF">
              <w:rPr>
                <w:sz w:val="27"/>
                <w:szCs w:val="27"/>
              </w:rPr>
              <w:t>3</w:t>
            </w:r>
          </w:p>
        </w:tc>
        <w:tc>
          <w:tcPr>
            <w:tcW w:w="7200" w:type="dxa"/>
          </w:tcPr>
          <w:p w:rsidR="00FB2D97" w:rsidRDefault="00FB2D97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B9529B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B9529B" w:rsidRPr="00F51CCF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776786">
              <w:rPr>
                <w:sz w:val="27"/>
                <w:szCs w:val="27"/>
              </w:rPr>
              <w:t>проведение капитального ремонта</w:t>
            </w:r>
            <w:r>
              <w:rPr>
                <w:sz w:val="27"/>
                <w:szCs w:val="27"/>
              </w:rPr>
              <w:t xml:space="preserve"> в муниципальном жилищном фонде</w:t>
            </w:r>
          </w:p>
        </w:tc>
      </w:tr>
    </w:tbl>
    <w:p w:rsidR="00E82359" w:rsidRPr="006B342A" w:rsidRDefault="00E8235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</w:t>
      </w:r>
      <w:r w:rsidR="00F43E03" w:rsidRPr="00F51CCF">
        <w:rPr>
          <w:sz w:val="27"/>
          <w:szCs w:val="27"/>
        </w:rPr>
        <w:t xml:space="preserve">муниципальном жилищном фонде </w:t>
      </w:r>
      <w:r w:rsidR="002C552E">
        <w:rPr>
          <w:sz w:val="27"/>
          <w:szCs w:val="27"/>
        </w:rPr>
        <w:t xml:space="preserve">города </w:t>
      </w:r>
      <w:r w:rsidR="002C2564">
        <w:rPr>
          <w:sz w:val="27"/>
          <w:szCs w:val="27"/>
        </w:rPr>
        <w:t xml:space="preserve">Киржач, целей </w:t>
      </w:r>
      <w:r w:rsidRPr="00F51CCF">
        <w:rPr>
          <w:sz w:val="27"/>
          <w:szCs w:val="27"/>
        </w:rPr>
        <w:t>Программы, предусматриваются основные направления ее реализации:</w:t>
      </w: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F43E03" w:rsidRPr="00F51CCF">
        <w:rPr>
          <w:sz w:val="27"/>
          <w:szCs w:val="27"/>
        </w:rPr>
        <w:t>проведение</w:t>
      </w:r>
      <w:r w:rsidRPr="00F51CCF">
        <w:rPr>
          <w:sz w:val="27"/>
          <w:szCs w:val="27"/>
        </w:rPr>
        <w:t xml:space="preserve"> к</w:t>
      </w:r>
      <w:r w:rsidR="00F43E03" w:rsidRPr="00F51CCF">
        <w:rPr>
          <w:sz w:val="27"/>
          <w:szCs w:val="27"/>
        </w:rPr>
        <w:t>апитального</w:t>
      </w:r>
      <w:r w:rsidR="00365B06" w:rsidRPr="00F51CCF">
        <w:rPr>
          <w:sz w:val="27"/>
          <w:szCs w:val="27"/>
        </w:rPr>
        <w:t xml:space="preserve"> ре</w:t>
      </w:r>
      <w:r w:rsidR="00F43E03" w:rsidRPr="00F51CCF">
        <w:rPr>
          <w:sz w:val="27"/>
          <w:szCs w:val="27"/>
        </w:rPr>
        <w:t>монта</w:t>
      </w:r>
      <w:r w:rsidR="00365B06" w:rsidRPr="00F51CCF">
        <w:rPr>
          <w:sz w:val="27"/>
          <w:szCs w:val="27"/>
        </w:rPr>
        <w:t xml:space="preserve">  </w:t>
      </w:r>
      <w:r w:rsidR="00F43E03" w:rsidRPr="00F51CCF">
        <w:rPr>
          <w:sz w:val="27"/>
          <w:szCs w:val="27"/>
        </w:rPr>
        <w:t>муниципального жилья</w:t>
      </w:r>
      <w:r w:rsidR="00C16D03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EE1998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</w:t>
      </w:r>
      <w:r w:rsidR="002954D9" w:rsidRPr="00F51CCF">
        <w:rPr>
          <w:sz w:val="27"/>
          <w:szCs w:val="27"/>
        </w:rPr>
        <w:t>дмин</w:t>
      </w:r>
      <w:r w:rsidR="002C552E">
        <w:rPr>
          <w:sz w:val="27"/>
          <w:szCs w:val="27"/>
        </w:rPr>
        <w:t>истрация города</w:t>
      </w:r>
      <w:r w:rsidR="002954D9" w:rsidRPr="00F51CCF">
        <w:rPr>
          <w:sz w:val="27"/>
          <w:szCs w:val="27"/>
        </w:rPr>
        <w:t xml:space="preserve"> Киржач </w:t>
      </w:r>
      <w:r w:rsidR="002C552E">
        <w:rPr>
          <w:sz w:val="27"/>
          <w:szCs w:val="27"/>
        </w:rPr>
        <w:t xml:space="preserve">Киржачского района </w:t>
      </w:r>
      <w:r w:rsidR="002954D9" w:rsidRPr="00F51CCF">
        <w:rPr>
          <w:sz w:val="27"/>
          <w:szCs w:val="27"/>
        </w:rPr>
        <w:t xml:space="preserve">осуществляет </w:t>
      </w:r>
      <w:proofErr w:type="gramStart"/>
      <w:r w:rsidR="002954D9" w:rsidRPr="00F51CCF">
        <w:rPr>
          <w:sz w:val="27"/>
          <w:szCs w:val="27"/>
        </w:rPr>
        <w:t>контроль за</w:t>
      </w:r>
      <w:proofErr w:type="gramEnd"/>
      <w:r w:rsidR="002954D9"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 выполненных работ по капитально</w:t>
      </w:r>
      <w:r w:rsidR="009D6575">
        <w:rPr>
          <w:sz w:val="27"/>
          <w:szCs w:val="27"/>
        </w:rPr>
        <w:t>му ремонту муниципального жилья</w:t>
      </w:r>
      <w:r w:rsidR="002954D9" w:rsidRPr="00F51CCF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both"/>
        <w:rPr>
          <w:sz w:val="20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</w:t>
      </w:r>
      <w:r w:rsidR="0079551D" w:rsidRPr="00F51CCF">
        <w:rPr>
          <w:b/>
          <w:sz w:val="27"/>
          <w:szCs w:val="27"/>
        </w:rPr>
        <w:t>льтатов от реализации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44222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проживания граждан, обеспечивается сохранность жилищного фонда</w:t>
      </w:r>
      <w:r w:rsidR="0044222F">
        <w:rPr>
          <w:sz w:val="27"/>
          <w:szCs w:val="27"/>
        </w:rPr>
        <w:t>.</w:t>
      </w:r>
    </w:p>
    <w:p w:rsidR="00D561C4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</w:t>
      </w:r>
      <w:r w:rsidR="005A35EE" w:rsidRPr="00F51CCF">
        <w:rPr>
          <w:sz w:val="27"/>
          <w:szCs w:val="27"/>
        </w:rPr>
        <w:t>сокращение количества единиц муниципального жилищного фонда, нуждающихся в проведении капитального ремонта.</w:t>
      </w: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 w:rsidR="002C2564">
        <w:rPr>
          <w:b/>
          <w:sz w:val="28"/>
        </w:rPr>
        <w:t>бюджета города</w:t>
      </w:r>
      <w:r w:rsidRPr="00DA157D">
        <w:rPr>
          <w:b/>
          <w:sz w:val="28"/>
        </w:rPr>
        <w:t xml:space="preserve"> Киржач</w:t>
      </w:r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1135"/>
        <w:gridCol w:w="1134"/>
        <w:gridCol w:w="1134"/>
        <w:gridCol w:w="850"/>
      </w:tblGrid>
      <w:tr w:rsidR="0044222F" w:rsidRPr="001E0A01" w:rsidTr="00332C37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332C37" w:rsidRPr="001E0A01" w:rsidTr="00332C37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332C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Default="00332C37" w:rsidP="00332C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Default="00332C37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332C37" w:rsidRPr="001E0A01" w:rsidTr="00332C37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332C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32C37" w:rsidRPr="001E0A01" w:rsidTr="00332C37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32C37" w:rsidRPr="001E0A01" w:rsidTr="00332C37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1E0A01" w:rsidRDefault="00332C37" w:rsidP="0044222F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332C37" w:rsidRPr="001E0A01" w:rsidTr="00332C37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5E5CFB" w:rsidRDefault="00332C37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1E0A01" w:rsidRDefault="00332C37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Default="00332C37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Default="00332C37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D561C4" w:rsidRDefault="00D561C4" w:rsidP="00D561C4">
      <w:pPr>
        <w:pStyle w:val="ConsPlusNormal"/>
        <w:jc w:val="right"/>
        <w:outlineLvl w:val="2"/>
        <w:rPr>
          <w:sz w:val="28"/>
        </w:rPr>
      </w:pPr>
      <w:bookmarkStart w:id="1" w:name="Par912"/>
      <w:bookmarkEnd w:id="1"/>
    </w:p>
    <w:p w:rsidR="00315E71" w:rsidRDefault="00315E71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Pr="00AE4265" w:rsidRDefault="009D6575" w:rsidP="00315E71">
      <w:pPr>
        <w:pStyle w:val="ConsPlusNormal"/>
        <w:jc w:val="both"/>
        <w:rPr>
          <w:sz w:val="20"/>
          <w:szCs w:val="28"/>
        </w:rPr>
      </w:pPr>
    </w:p>
    <w:p w:rsidR="00332C37" w:rsidRDefault="00332C37" w:rsidP="00315E71">
      <w:pPr>
        <w:pStyle w:val="ConsPlusNormal"/>
        <w:jc w:val="right"/>
        <w:outlineLvl w:val="2"/>
        <w:rPr>
          <w:sz w:val="28"/>
          <w:szCs w:val="28"/>
        </w:rPr>
      </w:pPr>
    </w:p>
    <w:p w:rsidR="00332C37" w:rsidRDefault="00332C37" w:rsidP="00315E71">
      <w:pPr>
        <w:pStyle w:val="ConsPlusNormal"/>
        <w:jc w:val="right"/>
        <w:outlineLvl w:val="2"/>
        <w:rPr>
          <w:sz w:val="28"/>
          <w:szCs w:val="28"/>
        </w:rPr>
      </w:pPr>
    </w:p>
    <w:p w:rsidR="00315E71" w:rsidRPr="00DE7341" w:rsidRDefault="00315E71" w:rsidP="00315E71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 w:rsidR="00C16D03">
        <w:rPr>
          <w:sz w:val="28"/>
          <w:szCs w:val="28"/>
        </w:rPr>
        <w:t>3</w:t>
      </w:r>
    </w:p>
    <w:p w:rsidR="00315E71" w:rsidRPr="00DA157D" w:rsidRDefault="009D6575" w:rsidP="00AE426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="00315E71"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="00315E71"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15E71"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886"/>
        <w:gridCol w:w="1559"/>
        <w:gridCol w:w="1329"/>
        <w:gridCol w:w="1790"/>
      </w:tblGrid>
      <w:tr w:rsidR="00315E71" w:rsidRPr="00DE7341" w:rsidTr="00EA00C2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DE7341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Номер 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наименовние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основного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телями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(подпрог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раммы)  </w:t>
            </w:r>
          </w:p>
        </w:tc>
      </w:tr>
      <w:tr w:rsidR="00315E71" w:rsidRPr="00DE7341" w:rsidTr="00EA00C2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7A4A39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</w:t>
            </w:r>
            <w:r w:rsidR="003D66AD">
              <w:rPr>
                <w:rFonts w:ascii="Times New Roman" w:hAnsi="Times New Roman" w:cs="Times New Roman"/>
                <w:sz w:val="22"/>
                <w:szCs w:val="24"/>
              </w:rPr>
              <w:t>ча-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71" w:rsidRPr="00DE7341" w:rsidTr="00EA00C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3D66AD" w:rsidRPr="00DE7341" w:rsidTr="00C16D03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D" w:rsidRPr="00DE7341" w:rsidRDefault="003D66AD" w:rsidP="00EA0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муницип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 на 20</w:t>
            </w:r>
            <w:r w:rsidR="00EA00C2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EA00C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7DB3" w:rsidRPr="00DE7341" w:rsidTr="00EA00C2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DE7341" w:rsidRDefault="007A4A39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FC7DB3" w:rsidRP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39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EA0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2C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EA0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жилых помещений к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ванных помещений напрямую связано с техническим состоянием муниципально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го жилищного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</w:tbl>
    <w:p w:rsidR="00986C4D" w:rsidRPr="00FC008B" w:rsidRDefault="00986C4D" w:rsidP="00314210">
      <w:bookmarkStart w:id="3" w:name="Par698"/>
      <w:bookmarkEnd w:id="3"/>
    </w:p>
    <w:sectPr w:rsidR="00986C4D" w:rsidRPr="00FC008B" w:rsidSect="009D6575">
      <w:headerReference w:type="default" r:id="rId10"/>
      <w:footerReference w:type="default" r:id="rId11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36" w:rsidRDefault="00C30B36">
      <w:r>
        <w:separator/>
      </w:r>
    </w:p>
  </w:endnote>
  <w:endnote w:type="continuationSeparator" w:id="0">
    <w:p w:rsidR="00C30B36" w:rsidRDefault="00C3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36" w:rsidRDefault="00C30B36">
      <w:r>
        <w:separator/>
      </w:r>
    </w:p>
  </w:footnote>
  <w:footnote w:type="continuationSeparator" w:id="0">
    <w:p w:rsidR="00C30B36" w:rsidRDefault="00C30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39" w:rsidRDefault="00897039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0F9F"/>
    <w:rsid w:val="00006B38"/>
    <w:rsid w:val="00013B68"/>
    <w:rsid w:val="0002559C"/>
    <w:rsid w:val="00026EB6"/>
    <w:rsid w:val="0004243C"/>
    <w:rsid w:val="000568A7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52ED"/>
    <w:rsid w:val="000F5E4D"/>
    <w:rsid w:val="000F725D"/>
    <w:rsid w:val="00140374"/>
    <w:rsid w:val="00143BFF"/>
    <w:rsid w:val="00152E53"/>
    <w:rsid w:val="00155520"/>
    <w:rsid w:val="001839D8"/>
    <w:rsid w:val="001D0270"/>
    <w:rsid w:val="001D5B1C"/>
    <w:rsid w:val="001D7142"/>
    <w:rsid w:val="001E19E7"/>
    <w:rsid w:val="001E4F93"/>
    <w:rsid w:val="00200C0C"/>
    <w:rsid w:val="002160F1"/>
    <w:rsid w:val="002471D2"/>
    <w:rsid w:val="00261B7C"/>
    <w:rsid w:val="002933AD"/>
    <w:rsid w:val="002954D9"/>
    <w:rsid w:val="002963A6"/>
    <w:rsid w:val="002A517E"/>
    <w:rsid w:val="002B555C"/>
    <w:rsid w:val="002C22A8"/>
    <w:rsid w:val="002C2564"/>
    <w:rsid w:val="002C552E"/>
    <w:rsid w:val="002E12B2"/>
    <w:rsid w:val="002E6B83"/>
    <w:rsid w:val="002F0F91"/>
    <w:rsid w:val="00314210"/>
    <w:rsid w:val="00315E71"/>
    <w:rsid w:val="00332C37"/>
    <w:rsid w:val="003408DD"/>
    <w:rsid w:val="00360C76"/>
    <w:rsid w:val="00365B06"/>
    <w:rsid w:val="00385BFA"/>
    <w:rsid w:val="003A674C"/>
    <w:rsid w:val="003A6D3A"/>
    <w:rsid w:val="003B6172"/>
    <w:rsid w:val="003C24EB"/>
    <w:rsid w:val="003D66AD"/>
    <w:rsid w:val="003F1EB4"/>
    <w:rsid w:val="003F42D2"/>
    <w:rsid w:val="0040468E"/>
    <w:rsid w:val="0040743E"/>
    <w:rsid w:val="00407D0D"/>
    <w:rsid w:val="0044222F"/>
    <w:rsid w:val="0044357B"/>
    <w:rsid w:val="00454F0E"/>
    <w:rsid w:val="00461675"/>
    <w:rsid w:val="00473ED7"/>
    <w:rsid w:val="004742FA"/>
    <w:rsid w:val="00481BB1"/>
    <w:rsid w:val="00483628"/>
    <w:rsid w:val="0048452B"/>
    <w:rsid w:val="00487717"/>
    <w:rsid w:val="004B5CFC"/>
    <w:rsid w:val="004C5AAF"/>
    <w:rsid w:val="004C75B5"/>
    <w:rsid w:val="004D0A47"/>
    <w:rsid w:val="004D288D"/>
    <w:rsid w:val="004E4A69"/>
    <w:rsid w:val="00507E3C"/>
    <w:rsid w:val="0051192B"/>
    <w:rsid w:val="00514305"/>
    <w:rsid w:val="005445F1"/>
    <w:rsid w:val="0055755E"/>
    <w:rsid w:val="00560FFF"/>
    <w:rsid w:val="00567F80"/>
    <w:rsid w:val="00570C64"/>
    <w:rsid w:val="00570CCD"/>
    <w:rsid w:val="00586D9F"/>
    <w:rsid w:val="00592E2A"/>
    <w:rsid w:val="005A0963"/>
    <w:rsid w:val="005A35EE"/>
    <w:rsid w:val="005C676B"/>
    <w:rsid w:val="005D445F"/>
    <w:rsid w:val="005E0FA4"/>
    <w:rsid w:val="005E5CFB"/>
    <w:rsid w:val="00612B0F"/>
    <w:rsid w:val="0062160E"/>
    <w:rsid w:val="006239A1"/>
    <w:rsid w:val="006324A3"/>
    <w:rsid w:val="00644533"/>
    <w:rsid w:val="00646DE7"/>
    <w:rsid w:val="00663835"/>
    <w:rsid w:val="00680353"/>
    <w:rsid w:val="006A787B"/>
    <w:rsid w:val="006B1D7F"/>
    <w:rsid w:val="006B342A"/>
    <w:rsid w:val="006C2944"/>
    <w:rsid w:val="006C7648"/>
    <w:rsid w:val="006D2D4C"/>
    <w:rsid w:val="006D5D1E"/>
    <w:rsid w:val="007063AB"/>
    <w:rsid w:val="00706534"/>
    <w:rsid w:val="0072401E"/>
    <w:rsid w:val="00730525"/>
    <w:rsid w:val="00734CA7"/>
    <w:rsid w:val="00762413"/>
    <w:rsid w:val="007678E3"/>
    <w:rsid w:val="00776786"/>
    <w:rsid w:val="00776D76"/>
    <w:rsid w:val="00784C16"/>
    <w:rsid w:val="00790CFD"/>
    <w:rsid w:val="0079551D"/>
    <w:rsid w:val="00796F47"/>
    <w:rsid w:val="007A4A39"/>
    <w:rsid w:val="007C55E3"/>
    <w:rsid w:val="007D3800"/>
    <w:rsid w:val="007E4DD9"/>
    <w:rsid w:val="008050EE"/>
    <w:rsid w:val="00812621"/>
    <w:rsid w:val="00813793"/>
    <w:rsid w:val="00815656"/>
    <w:rsid w:val="00816EC7"/>
    <w:rsid w:val="00832B88"/>
    <w:rsid w:val="008350F6"/>
    <w:rsid w:val="00853157"/>
    <w:rsid w:val="00856AC2"/>
    <w:rsid w:val="008736CD"/>
    <w:rsid w:val="00897039"/>
    <w:rsid w:val="008975D6"/>
    <w:rsid w:val="008A6458"/>
    <w:rsid w:val="008E2BDF"/>
    <w:rsid w:val="00900366"/>
    <w:rsid w:val="00904443"/>
    <w:rsid w:val="00912AF8"/>
    <w:rsid w:val="00916378"/>
    <w:rsid w:val="00921108"/>
    <w:rsid w:val="00924711"/>
    <w:rsid w:val="0094547A"/>
    <w:rsid w:val="00977008"/>
    <w:rsid w:val="0098219C"/>
    <w:rsid w:val="009831B9"/>
    <w:rsid w:val="00986C4D"/>
    <w:rsid w:val="00993633"/>
    <w:rsid w:val="009C0620"/>
    <w:rsid w:val="009D51A2"/>
    <w:rsid w:val="009D6575"/>
    <w:rsid w:val="009F6F48"/>
    <w:rsid w:val="00A06905"/>
    <w:rsid w:val="00A168ED"/>
    <w:rsid w:val="00A20BB5"/>
    <w:rsid w:val="00A30BB3"/>
    <w:rsid w:val="00A4283C"/>
    <w:rsid w:val="00A504D8"/>
    <w:rsid w:val="00A52D32"/>
    <w:rsid w:val="00A6074B"/>
    <w:rsid w:val="00A660CE"/>
    <w:rsid w:val="00A75FE6"/>
    <w:rsid w:val="00A77D75"/>
    <w:rsid w:val="00A970EE"/>
    <w:rsid w:val="00AA59B3"/>
    <w:rsid w:val="00AA5FFF"/>
    <w:rsid w:val="00AC0021"/>
    <w:rsid w:val="00AE4265"/>
    <w:rsid w:val="00AF1008"/>
    <w:rsid w:val="00AF3059"/>
    <w:rsid w:val="00B16D75"/>
    <w:rsid w:val="00B24F84"/>
    <w:rsid w:val="00B473D6"/>
    <w:rsid w:val="00B51007"/>
    <w:rsid w:val="00B530D7"/>
    <w:rsid w:val="00B76CB4"/>
    <w:rsid w:val="00B822D7"/>
    <w:rsid w:val="00B82A35"/>
    <w:rsid w:val="00B92C1F"/>
    <w:rsid w:val="00B9529B"/>
    <w:rsid w:val="00BA5469"/>
    <w:rsid w:val="00BA755E"/>
    <w:rsid w:val="00BD6068"/>
    <w:rsid w:val="00BE2E75"/>
    <w:rsid w:val="00BE6F79"/>
    <w:rsid w:val="00BF7116"/>
    <w:rsid w:val="00C16D03"/>
    <w:rsid w:val="00C2136E"/>
    <w:rsid w:val="00C22EB4"/>
    <w:rsid w:val="00C30B36"/>
    <w:rsid w:val="00C42E60"/>
    <w:rsid w:val="00CB6CE9"/>
    <w:rsid w:val="00CB6FFD"/>
    <w:rsid w:val="00CC6C72"/>
    <w:rsid w:val="00CE022A"/>
    <w:rsid w:val="00D1193A"/>
    <w:rsid w:val="00D37A42"/>
    <w:rsid w:val="00D561C4"/>
    <w:rsid w:val="00D572BA"/>
    <w:rsid w:val="00D871C8"/>
    <w:rsid w:val="00D91DCD"/>
    <w:rsid w:val="00DA157D"/>
    <w:rsid w:val="00DA1DC2"/>
    <w:rsid w:val="00DB2D15"/>
    <w:rsid w:val="00DC74C2"/>
    <w:rsid w:val="00DD083E"/>
    <w:rsid w:val="00DD1960"/>
    <w:rsid w:val="00DD3989"/>
    <w:rsid w:val="00DE7341"/>
    <w:rsid w:val="00E16A89"/>
    <w:rsid w:val="00E3549E"/>
    <w:rsid w:val="00E457F8"/>
    <w:rsid w:val="00E5545D"/>
    <w:rsid w:val="00E63A90"/>
    <w:rsid w:val="00E66B6E"/>
    <w:rsid w:val="00E71243"/>
    <w:rsid w:val="00E77D12"/>
    <w:rsid w:val="00E81DF4"/>
    <w:rsid w:val="00E82359"/>
    <w:rsid w:val="00E91E0B"/>
    <w:rsid w:val="00E9531A"/>
    <w:rsid w:val="00EA00C2"/>
    <w:rsid w:val="00EB61C2"/>
    <w:rsid w:val="00EC0D33"/>
    <w:rsid w:val="00EC543E"/>
    <w:rsid w:val="00EC5C6C"/>
    <w:rsid w:val="00EC6D8D"/>
    <w:rsid w:val="00ED3E21"/>
    <w:rsid w:val="00EE1998"/>
    <w:rsid w:val="00F02BB8"/>
    <w:rsid w:val="00F1437E"/>
    <w:rsid w:val="00F277C4"/>
    <w:rsid w:val="00F31554"/>
    <w:rsid w:val="00F4062D"/>
    <w:rsid w:val="00F43E03"/>
    <w:rsid w:val="00F51CCF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5049"/>
    <w:rsid w:val="00FC7DB3"/>
    <w:rsid w:val="00FD0920"/>
    <w:rsid w:val="00FE0927"/>
    <w:rsid w:val="00FE1408"/>
    <w:rsid w:val="00FE4DDF"/>
    <w:rsid w:val="00FF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061D-D62C-4016-BC2F-9CD1D1F6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7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7534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31</cp:revision>
  <cp:lastPrinted>2022-09-15T08:33:00Z</cp:lastPrinted>
  <dcterms:created xsi:type="dcterms:W3CDTF">2016-12-06T09:11:00Z</dcterms:created>
  <dcterms:modified xsi:type="dcterms:W3CDTF">2022-09-16T06:57:00Z</dcterms:modified>
</cp:coreProperties>
</file>