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DD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DD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013D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</w:t>
      </w:r>
      <w:proofErr w:type="gramEnd"/>
      <w:r w:rsidRPr="004013D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О С Т А Н О В Л Е Н И Е</w:t>
      </w:r>
    </w:p>
    <w:p w:rsidR="004013DD" w:rsidRPr="004013DD" w:rsidRDefault="004013DD" w:rsidP="004013DD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 xml:space="preserve"> ___________                                                                                      № _____</w:t>
      </w: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8"/>
      </w:tblGrid>
      <w:tr w:rsidR="004013DD" w:rsidRPr="004013DD" w:rsidTr="00FE7C0E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013DD" w:rsidRPr="004013DD" w:rsidRDefault="004013DD" w:rsidP="004013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3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муниципальной программы   «Противодействие экстремизму и профилактика терроризма на территории муниципального образования   город Киржач Киржачского района Владимирской области на 2021-2025 годы».                                         </w:t>
            </w:r>
          </w:p>
        </w:tc>
      </w:tr>
    </w:tbl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>В соответствии со ст. 179 БК РФ и постановлением администрации города Киржач Киржачского района  от 25.08.2020 №548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</w:t>
      </w: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3D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13DD">
        <w:rPr>
          <w:rFonts w:ascii="Times New Roman" w:hAnsi="Times New Roman" w:cs="Times New Roman"/>
          <w:sz w:val="28"/>
          <w:szCs w:val="28"/>
        </w:rPr>
        <w:t>1. Утвердить  муниципальную программу «Противодействие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годы» согласно приложению.</w:t>
      </w:r>
    </w:p>
    <w:p w:rsidR="004013DD" w:rsidRPr="004013DD" w:rsidRDefault="004013DD" w:rsidP="00401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 xml:space="preserve">2. Постановление главы городского поселения </w:t>
      </w:r>
      <w:proofErr w:type="gramStart"/>
      <w:r w:rsidRPr="004013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3DD">
        <w:rPr>
          <w:rFonts w:ascii="Times New Roman" w:hAnsi="Times New Roman" w:cs="Times New Roman"/>
          <w:sz w:val="28"/>
          <w:szCs w:val="28"/>
        </w:rPr>
        <w:t xml:space="preserve">. Киржач Киржачского района от 11.04.2016 №279 </w:t>
      </w:r>
      <w:r w:rsidRPr="004013DD">
        <w:rPr>
          <w:rFonts w:ascii="Times New Roman" w:hAnsi="Times New Roman" w:cs="Times New Roman"/>
          <w:i/>
          <w:sz w:val="28"/>
          <w:szCs w:val="28"/>
        </w:rPr>
        <w:t>«</w:t>
      </w:r>
      <w:r w:rsidRPr="004013DD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 городское поселение г. Киржач на 2016-2018 годы» считать утратившим силу.</w:t>
      </w:r>
    </w:p>
    <w:p w:rsidR="004013DD" w:rsidRPr="004013DD" w:rsidRDefault="004013DD" w:rsidP="00401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4013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3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4013DD" w:rsidRPr="004013DD" w:rsidRDefault="004013DD" w:rsidP="00401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 и подлежит официальному опубликованию в газете «Красное знамя».</w:t>
      </w: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3DD" w:rsidRPr="004013DD" w:rsidRDefault="004013DD" w:rsidP="0040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3D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Н.В. Скороспелова</w:t>
      </w:r>
    </w:p>
    <w:p w:rsidR="004013DD" w:rsidRDefault="004013DD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3DD" w:rsidRDefault="004013DD" w:rsidP="004013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Приложение к постановлению</w:t>
      </w:r>
    </w:p>
    <w:p w:rsidR="004013DD" w:rsidRDefault="004013DD" w:rsidP="004013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Киржач Киржачского района</w:t>
      </w:r>
    </w:p>
    <w:p w:rsidR="004013DD" w:rsidRPr="003C200D" w:rsidRDefault="004013DD" w:rsidP="004013D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№_________от______________</w:t>
      </w:r>
    </w:p>
    <w:p w:rsidR="004013DD" w:rsidRDefault="004013DD" w:rsidP="00401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3DD" w:rsidRDefault="004013DD" w:rsidP="00401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3DD" w:rsidRPr="0059543C" w:rsidRDefault="004013DD" w:rsidP="00401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9543C">
        <w:rPr>
          <w:rFonts w:ascii="Times New Roman" w:hAnsi="Times New Roman" w:cs="Times New Roman"/>
          <w:sz w:val="28"/>
          <w:szCs w:val="28"/>
        </w:rPr>
        <w:t>программа "Противодействие экстремизму и профилактика терр</w:t>
      </w:r>
      <w:r>
        <w:rPr>
          <w:rFonts w:ascii="Times New Roman" w:hAnsi="Times New Roman" w:cs="Times New Roman"/>
          <w:sz w:val="28"/>
          <w:szCs w:val="28"/>
        </w:rPr>
        <w:t xml:space="preserve">оризма на территории </w:t>
      </w:r>
      <w:r w:rsidRPr="0059543C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 Киржачского района Владимирской области на 2021-2025</w:t>
      </w:r>
      <w:r w:rsidRPr="0059543C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013DD" w:rsidRDefault="004013DD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2A9" w:rsidRDefault="00426BB1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26BB1" w:rsidRDefault="00426BB1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BB1" w:rsidRDefault="00426BB1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</w:t>
      </w:r>
      <w:r w:rsidRPr="00426BB1">
        <w:rPr>
          <w:rFonts w:ascii="Times New Roman" w:hAnsi="Times New Roman" w:cs="Times New Roman"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426BB1" w:rsidRPr="00426BB1" w:rsidRDefault="00426BB1" w:rsidP="00426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05"/>
        <w:gridCol w:w="5866"/>
      </w:tblGrid>
      <w:tr w:rsidR="00426BB1" w:rsidTr="00470CD9">
        <w:tc>
          <w:tcPr>
            <w:tcW w:w="3705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6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B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6BB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426BB1" w:rsidTr="00470CD9">
        <w:tc>
          <w:tcPr>
            <w:tcW w:w="3705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66" w:type="dxa"/>
          </w:tcPr>
          <w:p w:rsidR="00426BB1" w:rsidRP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</w:p>
        </w:tc>
      </w:tr>
      <w:tr w:rsidR="00426BB1" w:rsidTr="00470CD9">
        <w:tc>
          <w:tcPr>
            <w:tcW w:w="3705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66" w:type="dxa"/>
          </w:tcPr>
          <w:p w:rsidR="00426BB1" w:rsidRDefault="00426BB1" w:rsidP="00426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городским хозяйством»</w:t>
            </w:r>
          </w:p>
          <w:p w:rsidR="00426BB1" w:rsidRDefault="00562713" w:rsidP="00426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6BB1" w:rsidTr="00470CD9">
        <w:tc>
          <w:tcPr>
            <w:tcW w:w="3705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66" w:type="dxa"/>
          </w:tcPr>
          <w:p w:rsidR="00562713" w:rsidRDefault="00562713" w:rsidP="00562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ГО и ЧС администрации города Киржач киржачского района Владимирской области</w:t>
            </w:r>
          </w:p>
          <w:p w:rsidR="00562713" w:rsidRDefault="00562713" w:rsidP="00562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«Городская библиотека»</w:t>
            </w:r>
          </w:p>
          <w:p w:rsidR="00562713" w:rsidRDefault="00562713" w:rsidP="00562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</w:t>
            </w:r>
          </w:p>
          <w:p w:rsidR="00426BB1" w:rsidRDefault="00562713" w:rsidP="00562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«СДЦ Торпедо»</w:t>
            </w:r>
          </w:p>
        </w:tc>
      </w:tr>
      <w:tr w:rsidR="00426BB1" w:rsidTr="00470CD9">
        <w:tc>
          <w:tcPr>
            <w:tcW w:w="3705" w:type="dxa"/>
          </w:tcPr>
          <w:p w:rsidR="00426BB1" w:rsidRDefault="00426BB1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66" w:type="dxa"/>
          </w:tcPr>
          <w:p w:rsidR="00426BB1" w:rsidRDefault="00470CD9" w:rsidP="00470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CD9" w:rsidTr="00470CD9">
        <w:tc>
          <w:tcPr>
            <w:tcW w:w="3705" w:type="dxa"/>
          </w:tcPr>
          <w:p w:rsidR="00470CD9" w:rsidRDefault="00470CD9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66" w:type="dxa"/>
          </w:tcPr>
          <w:p w:rsidR="00470CD9" w:rsidRP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 в области профилактики терроризма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экстремизма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территории муниципального образования город Киржач Киржачского района Владимирской области путём совершенствования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нтитеррористической</w:t>
            </w:r>
            <w:proofErr w:type="gramStart"/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ротивоэкстремистской</w:t>
            </w:r>
          </w:p>
          <w:p w:rsidR="00470CD9" w:rsidRP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направленности, формирования толерантной среды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основе ценностей многонационального российского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общества, принципов соблюдения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  <w:p w:rsidR="00470CD9" w:rsidRDefault="00470CD9" w:rsidP="00470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0F" w:rsidTr="00470CD9">
        <w:tc>
          <w:tcPr>
            <w:tcW w:w="3705" w:type="dxa"/>
          </w:tcPr>
          <w:p w:rsidR="0072690F" w:rsidRDefault="0072690F" w:rsidP="00426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5866" w:type="dxa"/>
          </w:tcPr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самоуправления, государственных и 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органов, территориальных органов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власти в</w:t>
            </w:r>
            <w:r w:rsidRPr="004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426B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Киржач Киржачского района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направленного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предупреждение, выявление и последующее устранение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 и условий, способствующих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террористической и экстремистской деятельности;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 и экстремизма в сферах межнациональных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межрелигиозных отношений, образования, культуры,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спорта</w:t>
            </w:r>
            <w:proofErr w:type="gramStart"/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молодёжной и информационной политике, в сфере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обеспечения общественного правопорядка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D9" w:rsidRPr="00470CD9" w:rsidTr="00470CD9">
        <w:tc>
          <w:tcPr>
            <w:tcW w:w="3705" w:type="dxa"/>
          </w:tcPr>
          <w:p w:rsidR="00470CD9" w:rsidRP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D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66" w:type="dxa"/>
          </w:tcPr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межведомственного взаимодействия;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экстремистской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 всех правонарушений;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предупреждению экстремистских и террористических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проявлений;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доли учащихся, вовлечённых </w:t>
            </w:r>
            <w:proofErr w:type="gramStart"/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экстремизма и терроризма от общего 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учащихся, с 40% до 65%;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количества публикаций в СМИ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образования, направленных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этнокультурной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 и пропаганду ценностей добрососедства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толерантности;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сфере</w:t>
            </w:r>
          </w:p>
          <w:p w:rsidR="00470CD9" w:rsidRPr="00470CD9" w:rsidRDefault="00470CD9" w:rsidP="00470C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экстремизма и терроризма (изготовление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памяток, листовок, приобретение плакатов).</w:t>
            </w:r>
          </w:p>
          <w:p w:rsidR="00470CD9" w:rsidRP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CD9" w:rsidRPr="00470CD9" w:rsidTr="00470CD9">
        <w:tc>
          <w:tcPr>
            <w:tcW w:w="3705" w:type="dxa"/>
          </w:tcPr>
          <w:p w:rsidR="00470CD9" w:rsidRP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66" w:type="dxa"/>
          </w:tcPr>
          <w:p w:rsidR="00470CD9" w:rsidRPr="0059543C" w:rsidRDefault="00470CD9" w:rsidP="00900B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Pr="0059543C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этап.</w:t>
            </w:r>
            <w:r w:rsidRPr="005954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средств выделяемых на реализацию мероприятий  настоящей Программы </w:t>
            </w:r>
            <w:r w:rsidRPr="0059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уточняется при формировании проекта бюджета на соответствующий финансовый год</w:t>
            </w:r>
            <w:r w:rsidR="004E5744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период.</w:t>
            </w:r>
          </w:p>
        </w:tc>
      </w:tr>
      <w:tr w:rsidR="00470CD9" w:rsidRPr="00470CD9" w:rsidTr="00470CD9">
        <w:tc>
          <w:tcPr>
            <w:tcW w:w="3705" w:type="dxa"/>
          </w:tcPr>
          <w:p w:rsidR="00470CD9" w:rsidRDefault="00470CD9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5866" w:type="dxa"/>
          </w:tcPr>
          <w:p w:rsidR="0072690F" w:rsidRPr="000142A6" w:rsidRDefault="004E5744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2690F">
              <w:rPr>
                <w:rFonts w:ascii="Times New Roman" w:hAnsi="Times New Roman" w:cs="Times New Roman"/>
                <w:sz w:val="28"/>
                <w:szCs w:val="28"/>
              </w:rPr>
              <w:t>500,00 тысяч рублей</w:t>
            </w:r>
            <w:r w:rsidR="00D572B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города:</w:t>
            </w:r>
            <w:r w:rsidR="0072690F" w:rsidRPr="0059543C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2690F" w:rsidRPr="00595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690F">
              <w:rPr>
                <w:rFonts w:ascii="Times New Roman" w:hAnsi="Times New Roman" w:cs="Times New Roman"/>
                <w:bCs/>
                <w:sz w:val="28"/>
                <w:szCs w:val="28"/>
              </w:rPr>
              <w:t>2021 - 100,00 тысяч рублей</w:t>
            </w:r>
            <w:r w:rsidR="00D5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690F" w:rsidRPr="000142A6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– 100,00 тысяч рублей</w:t>
            </w:r>
            <w:r w:rsidR="00D5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– 100,00 тысяч</w:t>
            </w:r>
            <w:r w:rsidR="00E13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D5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13485" w:rsidRDefault="00E13485" w:rsidP="00E13485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2024 - 100,00 тысяч рублей</w:t>
            </w:r>
            <w:r w:rsidR="00D5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</w:t>
            </w:r>
            <w:r w:rsidR="00E1348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3485">
              <w:rPr>
                <w:rFonts w:ascii="Times New Roman" w:hAnsi="Times New Roman" w:cs="Times New Roman"/>
                <w:bCs/>
                <w:sz w:val="28"/>
                <w:szCs w:val="28"/>
              </w:rPr>
              <w:t>100,00 тысяч рублей</w:t>
            </w:r>
            <w:r w:rsidR="00D5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690F" w:rsidRPr="000142A6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0F" w:rsidRPr="000142A6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CD9" w:rsidRDefault="00470CD9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0F" w:rsidRPr="00470CD9" w:rsidTr="00470CD9">
        <w:tc>
          <w:tcPr>
            <w:tcW w:w="3705" w:type="dxa"/>
          </w:tcPr>
          <w:p w:rsidR="0072690F" w:rsidRDefault="0072690F" w:rsidP="00470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66" w:type="dxa"/>
          </w:tcPr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сведение к минимуму причин и условий, которые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могут привести к совершению террористических 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6B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Киржач Киржачского района Владимирской области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миграционных правил и режима регистрации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иностранными гражданами;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гармонизация межнациональных отношений,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этносоциальной комфортности;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культуры интернационализма,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согласия, национальной и религиозной терпимости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заведений;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в молодёжной среде атмосферы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межэтнического согласия и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−недопущение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националистических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экстремистских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группировок;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бдительности населения в области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террористической угрозе.</w:t>
            </w: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690F" w:rsidRPr="0072690F" w:rsidRDefault="0072690F" w:rsidP="007269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BB1" w:rsidRDefault="00426BB1" w:rsidP="00470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F46" w:rsidRDefault="00473F46" w:rsidP="00473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46"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</w:t>
      </w:r>
      <w:proofErr w:type="gramStart"/>
      <w:r w:rsidRPr="00473F46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 формулировки основных проблем</w:t>
      </w:r>
      <w:proofErr w:type="gramEnd"/>
      <w:r w:rsidRPr="00473F46">
        <w:rPr>
          <w:rFonts w:ascii="Times New Roman" w:hAnsi="Times New Roman" w:cs="Times New Roman"/>
          <w:sz w:val="28"/>
          <w:szCs w:val="28"/>
        </w:rPr>
        <w:t xml:space="preserve"> в указанной сфере и прогноз ее развития</w:t>
      </w:r>
    </w:p>
    <w:p w:rsidR="00473F46" w:rsidRPr="00473F46" w:rsidRDefault="00473F46" w:rsidP="00473F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F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зработка программы «Противодействие  экстремизму и профилактика терроризма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 Киржач Киржачского района Владимирской области на 2021 - 2025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 годы» (далее –</w:t>
      </w:r>
      <w:proofErr w:type="gramEnd"/>
    </w:p>
    <w:p w:rsidR="00473F46" w:rsidRDefault="00473F46" w:rsidP="00473F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3F46">
        <w:rPr>
          <w:rFonts w:ascii="Times New Roman" w:hAnsi="Times New Roman" w:cs="Times New Roman"/>
          <w:sz w:val="28"/>
          <w:szCs w:val="28"/>
          <w:lang w:eastAsia="ru-RU"/>
        </w:rPr>
        <w:t>Программа) вызвана необходимостью выработки системного, комплексного подхода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>решению проблемы профилактики экстремизма и терроризма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 Киржач Киржачского района Владимирской области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6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06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важнейшим направлением реализации</w:t>
      </w:r>
      <w:r w:rsidR="00406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</w:t>
      </w:r>
      <w:r w:rsidR="004060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F46">
        <w:rPr>
          <w:rFonts w:ascii="Times New Roman" w:hAnsi="Times New Roman" w:cs="Times New Roman"/>
          <w:sz w:val="28"/>
          <w:szCs w:val="28"/>
          <w:lang w:eastAsia="ru-RU"/>
        </w:rPr>
        <w:t>безопасности граждан.</w:t>
      </w:r>
    </w:p>
    <w:p w:rsidR="00406021" w:rsidRP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миролюбия, профилактика терроризма и различных видов экстремизма имеет в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время особую актуальность, обусловленную сохраняющейся социальной напряженностью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в обществе, ростом сепаратизма и национального экстремизма, являющихся прямой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угрозой безопасности не только района, области, но и страны в целом.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Экстремизм, терроризм и преступность представляют реальную угрозу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общественной безопасности, подрывают авторитет органов местного самоуправления и</w:t>
      </w:r>
    </w:p>
    <w:p w:rsidR="00406021" w:rsidRP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оказывают негативное влияние на все сферы общественной жизни. Их проявления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вызывают социальную напряженность, влекут затраты населения, организаций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предприятий на ликвидацию прямого и косвенного ущерба от преступных деяний.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Киржач Киржачского района Владимирской области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накоплен положительный опыт по сохранению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межнационального мира и согласия, активно ведется работа по искоренению рисков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экстремизма в начальной стадии, повышению толерантности населения и преодоления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этносоциальных и религиозных противоречий.</w:t>
      </w:r>
    </w:p>
    <w:p w:rsidR="00406021" w:rsidRP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В условиях развития современного общества особого внимания требует</w:t>
      </w:r>
    </w:p>
    <w:p w:rsidR="00406021" w:rsidRP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профилактика терроризма и экстремизма в молодёжной среде. Это вызвано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этнорелигиозными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факторами.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Особую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настороженность вызывает снижение общеобразовательного и общекультурного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молодых людей, чем пользуются экстремистки настроенные радикальные политические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религиозные силы.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Необходимо сформировать у молодёжи позитивные установки в отношении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представителей всех этнических групп, прожив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 на территории города Киржач Киржачского района Владимирской области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, повысить уровень межэтнической и межконфессиональной толерантности,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предотвратить формирование экстремистских молодёжных объединений на почве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этнической или конфессиональной вражды.</w:t>
      </w:r>
    </w:p>
    <w:p w:rsidR="00406021" w:rsidRP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Наиболее подвержены угрозам экстремистской и террористической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муниципальные учреждения социальной сферы.</w:t>
      </w:r>
    </w:p>
    <w:p w:rsidR="00406021" w:rsidRP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эффективно реализовать полномочия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направленные на осуществление мер по противодействию и профилактике терроризма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город Киржач Киржачского района Владимирской области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, возможно в рамках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программы.</w:t>
      </w:r>
    </w:p>
    <w:p w:rsid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призвана усилить действие уже </w:t>
      </w:r>
      <w:proofErr w:type="gramStart"/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предпринятых мер</w:t>
      </w:r>
      <w:proofErr w:type="gramEnd"/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профилактике терроризма и экстремизма, устранению причин и условий, способствующих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их проявлению, а также систематизировать методы процесса формирования толерантного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сознания и поведения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Киржач Киржачского района Владимирской области.</w:t>
      </w:r>
    </w:p>
    <w:p w:rsid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2.Приоритеты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программы.</w:t>
      </w:r>
    </w:p>
    <w:p w:rsidR="00406021" w:rsidRDefault="00406021" w:rsidP="00406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021" w:rsidRPr="00406021" w:rsidRDefault="00406021" w:rsidP="00D074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Главная цель программы – реализация государственной политики Российской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Федерации в области профилактики терроризма и экстремизма на территории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о образования город Киржач Киржачского района Владимирской области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путём совершенствования системы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профилактических мер антитеррористической, противоэкстремистской направленности,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формирования толерантной среды на основе ценностей многонационального российского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общества, принципов соблюдения прав и свобод человека.</w:t>
      </w:r>
    </w:p>
    <w:p w:rsidR="00406021" w:rsidRPr="00406021" w:rsidRDefault="00406021" w:rsidP="00D074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406021" w:rsidRP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организация взаимодействия органов местного самоуправления, государственных и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административных органов, территориальных органов исполнительной власти в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 город Киржач Киржачского района Владимирской области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, направленного на предупреждение,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выявление и последующее устранение причин и условий, способствующих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осуществлению террористической и экстремистской деятельности;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по профилактике терроризма и экстремизма в сферах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межнациональных и межрелигиозных отношений, образования, культуры, физической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культуры, спорта, в социальной, молодёжной и информационной политике, в сфере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обеспечения общественного правопорядка.</w:t>
      </w:r>
    </w:p>
    <w:p w:rsid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021">
        <w:rPr>
          <w:rFonts w:ascii="Times New Roman" w:hAnsi="Times New Roman" w:cs="Times New Roman"/>
          <w:sz w:val="28"/>
          <w:szCs w:val="28"/>
          <w:lang w:eastAsia="ru-RU"/>
        </w:rPr>
        <w:t>Срок реализа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>ции программы рассчитан на 5 лет с 2021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2025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Реализация всех программных мероприятий рассчитана на весь</w:t>
      </w:r>
      <w:r w:rsidR="00D074FE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реализации программы,  в</w:t>
      </w:r>
      <w:r w:rsidRPr="00406021">
        <w:rPr>
          <w:rFonts w:ascii="Times New Roman" w:hAnsi="Times New Roman" w:cs="Times New Roman"/>
          <w:sz w:val="28"/>
          <w:szCs w:val="28"/>
          <w:lang w:eastAsia="ru-RU"/>
        </w:rPr>
        <w:t>ыделение этапов не предусмотрено.</w:t>
      </w:r>
    </w:p>
    <w:p w:rsidR="00D074FE" w:rsidRDefault="00D074FE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FE" w:rsidRDefault="00D074FE" w:rsidP="00D074F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Обобщенная характеристика основных мероприятий муниципальной программы.</w:t>
      </w:r>
    </w:p>
    <w:p w:rsid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26BB1"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6BB1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 №1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72" w:rsidRDefault="004E1E72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Ресурсное обес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>печение муниципальной программы</w:t>
      </w:r>
    </w:p>
    <w:p w:rsidR="004E1E72" w:rsidRDefault="004E1E72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ммы необходимо в течение 2021-2025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использован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>ие финансовых затрат в объёме 5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 xml:space="preserve">,0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2022 году – 100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2023 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году – 10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485">
        <w:rPr>
          <w:rFonts w:ascii="Times New Roman" w:hAnsi="Times New Roman" w:cs="Times New Roman"/>
          <w:sz w:val="28"/>
          <w:szCs w:val="28"/>
          <w:lang w:eastAsia="ru-RU"/>
        </w:rPr>
        <w:t>по 100,0 тыс. рублей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2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бъем финансирования программы носит прогнозный характер  и ежегодно уточняется при принятии бюджета муниципального образования на очередной финансовый год</w:t>
      </w:r>
      <w:r w:rsidR="00D572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E1E72" w:rsidRPr="004E1E72" w:rsidRDefault="004E1E72" w:rsidP="004E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72" w:rsidRDefault="004E1E72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Прогноз конечных результатов реа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</w:t>
      </w:r>
    </w:p>
    <w:p w:rsidR="004E1E72" w:rsidRDefault="004E1E72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72" w:rsidRPr="004E1E72" w:rsidRDefault="004E1E72" w:rsidP="004E1E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планируется: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сведение к минимуму причин и условий, которые могут привести к совершению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террористических актов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территории муниципального образования город Киржач Киржачского района Владимирской области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4E1E7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миграционных правил и режима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иностранными гражданами;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гармонизация межнациональных отношений, повышение уровня этносоциальной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комфортности;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укрепление в молодёжной среде атмосферы межэтнического согласия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E72">
        <w:rPr>
          <w:rFonts w:ascii="Times New Roman" w:hAnsi="Times New Roman" w:cs="Times New Roman"/>
          <w:sz w:val="28"/>
          <w:szCs w:val="28"/>
          <w:lang w:eastAsia="ru-RU"/>
        </w:rPr>
        <w:t>толерантности;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недопущение создания и деятельности </w:t>
      </w:r>
      <w:proofErr w:type="gramStart"/>
      <w:r w:rsidRPr="004E1E72">
        <w:rPr>
          <w:rFonts w:ascii="Times New Roman" w:hAnsi="Times New Roman" w:cs="Times New Roman"/>
          <w:sz w:val="28"/>
          <w:szCs w:val="28"/>
          <w:lang w:eastAsia="ru-RU"/>
        </w:rPr>
        <w:t>националистических</w:t>
      </w:r>
      <w:proofErr w:type="gramEnd"/>
      <w:r w:rsidRPr="004E1E72">
        <w:rPr>
          <w:rFonts w:ascii="Times New Roman" w:hAnsi="Times New Roman" w:cs="Times New Roman"/>
          <w:sz w:val="28"/>
          <w:szCs w:val="28"/>
          <w:lang w:eastAsia="ru-RU"/>
        </w:rPr>
        <w:t xml:space="preserve"> экстремистских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молодёжных группировок;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повышение уровня организованности и бдительности населения в области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E72">
        <w:rPr>
          <w:rFonts w:ascii="Times New Roman" w:hAnsi="Times New Roman" w:cs="Times New Roman"/>
          <w:sz w:val="28"/>
          <w:szCs w:val="28"/>
          <w:lang w:eastAsia="ru-RU"/>
        </w:rPr>
        <w:t>противодействия террористической угрозе.</w:t>
      </w:r>
    </w:p>
    <w:p w:rsid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1E72" w:rsidRDefault="004E1E72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FD5B34">
        <w:rPr>
          <w:rFonts w:ascii="Times New Roman" w:hAnsi="Times New Roman" w:cs="Times New Roman"/>
          <w:sz w:val="28"/>
          <w:szCs w:val="28"/>
          <w:lang w:eastAsia="ru-RU"/>
        </w:rPr>
        <w:t>Порядок и методика оценки эффективности муниципальной программы.</w:t>
      </w:r>
    </w:p>
    <w:p w:rsidR="00FD5B34" w:rsidRDefault="00FD5B34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B34" w:rsidRDefault="00FD5B34" w:rsidP="00FD5B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B34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запланированных результатов определяется целевыми показателями (индикаторами):</w:t>
      </w:r>
    </w:p>
    <w:p w:rsidR="00FD5B34" w:rsidRPr="00FD5B34" w:rsidRDefault="00FD5B34" w:rsidP="00FD5B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4334"/>
        <w:gridCol w:w="850"/>
        <w:gridCol w:w="826"/>
        <w:gridCol w:w="30"/>
        <w:gridCol w:w="15"/>
        <w:gridCol w:w="745"/>
        <w:gridCol w:w="759"/>
        <w:gridCol w:w="598"/>
        <w:gridCol w:w="15"/>
        <w:gridCol w:w="29"/>
        <w:gridCol w:w="15"/>
        <w:gridCol w:w="768"/>
      </w:tblGrid>
      <w:tr w:rsidR="00D572BA" w:rsidRPr="00FD5B34" w:rsidTr="00334B11">
        <w:trPr>
          <w:trHeight w:val="405"/>
        </w:trPr>
        <w:tc>
          <w:tcPr>
            <w:tcW w:w="945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5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(индикатор)</w:t>
            </w:r>
          </w:p>
        </w:tc>
        <w:tc>
          <w:tcPr>
            <w:tcW w:w="851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759" w:type="dxa"/>
            <w:gridSpan w:val="10"/>
            <w:tcBorders>
              <w:top w:val="single" w:sz="6" w:space="0" w:color="B5B5B5"/>
              <w:left w:val="single" w:sz="6" w:space="0" w:color="B5B5B5"/>
              <w:bottom w:val="single" w:sz="4" w:space="0" w:color="auto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Планируемое значение на год</w:t>
            </w:r>
          </w:p>
        </w:tc>
      </w:tr>
      <w:tr w:rsidR="00D572BA" w:rsidRPr="00FD5B34" w:rsidTr="00D572BA">
        <w:trPr>
          <w:trHeight w:val="675"/>
        </w:trPr>
        <w:tc>
          <w:tcPr>
            <w:tcW w:w="945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572BA" w:rsidRPr="00FD5B34" w:rsidTr="00D572BA">
        <w:trPr>
          <w:trHeight w:val="1021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мероприятий для детей и молодёжи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1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занятий с детьми дошкольного возраста по темам: «Россия как многонациональное </w:t>
            </w: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государство», организация  игр, викторин и т.д.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81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" w:type="dxa"/>
            <w:gridSpan w:val="4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одящихся на территории города Киржач Киржачского района Владимирской области</w:t>
            </w: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Киржач Киржачского района Владимирской области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9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D572BA" w:rsidP="00D57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4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89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9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ед.</w:t>
            </w:r>
          </w:p>
        </w:tc>
        <w:tc>
          <w:tcPr>
            <w:tcW w:w="79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9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не позднее, чем за 48 часов органов внутренних </w:t>
            </w: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дел (участкового) о планируемых массовых мероприятиях в учреждениях культуры, школы.  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795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9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572BA" w:rsidRPr="00FD5B34" w:rsidTr="00D572BA">
        <w:trPr>
          <w:trHeight w:val="415"/>
        </w:trPr>
        <w:tc>
          <w:tcPr>
            <w:tcW w:w="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ТОСов по профилактике терроризма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FD5B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72BA" w:rsidRPr="00FD5B34" w:rsidRDefault="00D572BA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4" w:space="0" w:color="auto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gridSpan w:val="4"/>
            <w:tcBorders>
              <w:top w:val="single" w:sz="6" w:space="0" w:color="B5B5B5"/>
              <w:left w:val="single" w:sz="4" w:space="0" w:color="auto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</w:tcPr>
          <w:p w:rsidR="00D572BA" w:rsidRPr="00FD5B34" w:rsidRDefault="0024112B" w:rsidP="00241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5B34" w:rsidRPr="00FD5B34" w:rsidRDefault="00FD5B34" w:rsidP="00FD5B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B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D5B34" w:rsidRDefault="00FD5B34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5B2A55">
        <w:rPr>
          <w:rFonts w:ascii="Times New Roman" w:hAnsi="Times New Roman" w:cs="Times New Roman"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</w:t>
      </w:r>
      <w:r w:rsidR="00D572BA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</w:t>
      </w:r>
    </w:p>
    <w:p w:rsidR="005B2A55" w:rsidRDefault="005B2A55" w:rsidP="004E1E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B34" w:rsidRPr="005B2A55" w:rsidRDefault="005B2A55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B34" w:rsidRPr="005B2A55">
        <w:rPr>
          <w:rFonts w:ascii="Times New Roman" w:hAnsi="Times New Roman" w:cs="Times New Roman"/>
          <w:sz w:val="28"/>
          <w:szCs w:val="28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1) выбор исполнителей мероприятий</w:t>
      </w:r>
      <w:r w:rsidR="005B2A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2A55">
        <w:rPr>
          <w:rFonts w:ascii="Times New Roman" w:hAnsi="Times New Roman" w:cs="Times New Roman"/>
          <w:sz w:val="28"/>
          <w:szCs w:val="28"/>
          <w:lang w:eastAsia="ru-RU"/>
        </w:rPr>
        <w:t>Программы в соответствии с законодательством о контрактной системе;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</w:t>
      </w:r>
      <w:r w:rsidR="00562713">
        <w:rPr>
          <w:rFonts w:ascii="Times New Roman" w:hAnsi="Times New Roman" w:cs="Times New Roman"/>
          <w:sz w:val="28"/>
          <w:szCs w:val="28"/>
          <w:lang w:eastAsia="ru-RU"/>
        </w:rPr>
        <w:t>уры, методическое сопровождение.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3. Реализация </w:t>
      </w:r>
      <w:hyperlink r:id="rId6" w:anchor="Par0" w:history="1">
        <w:r w:rsidRPr="005B2A55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5B2A55">
        <w:rPr>
          <w:rFonts w:ascii="Times New Roman" w:hAnsi="Times New Roman" w:cs="Times New Roman"/>
          <w:sz w:val="28"/>
          <w:szCs w:val="28"/>
          <w:lang w:eastAsia="ru-RU"/>
        </w:rPr>
        <w:t> 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 w:rsidR="005B2A5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Киржач Киржачского района Владимирской области </w:t>
      </w:r>
      <w:r w:rsidRPr="005B2A55">
        <w:rPr>
          <w:rFonts w:ascii="Times New Roman" w:hAnsi="Times New Roman" w:cs="Times New Roman"/>
          <w:sz w:val="28"/>
          <w:szCs w:val="28"/>
          <w:lang w:eastAsia="ru-RU"/>
        </w:rPr>
        <w:t>приведет к невозможности выполнения поставленных задач в установленные сроки.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5. Способами ограничения финансовых рисков выступают меры: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2) определение приоритетов для первоочередного финансирования.</w:t>
      </w:r>
    </w:p>
    <w:p w:rsidR="00FD5B34" w:rsidRPr="005B2A55" w:rsidRDefault="00FD5B34" w:rsidP="005B2A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 </w:t>
      </w:r>
      <w:hyperlink r:id="rId7" w:anchor="Par0" w:history="1">
        <w:r w:rsidRPr="005B2A55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5B2A55">
        <w:rPr>
          <w:rFonts w:ascii="Times New Roman" w:hAnsi="Times New Roman" w:cs="Times New Roman"/>
          <w:sz w:val="28"/>
          <w:szCs w:val="28"/>
          <w:lang w:eastAsia="ru-RU"/>
        </w:rPr>
        <w:t xml:space="preserve"> в пользу других направлений </w:t>
      </w:r>
      <w:r w:rsidRPr="005B2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r w:rsidR="005B2A5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Киржач Киржачского района Владимирской области. </w:t>
      </w:r>
    </w:p>
    <w:p w:rsidR="004E1E72" w:rsidRPr="004E1E72" w:rsidRDefault="004E1E72" w:rsidP="004E1E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3DD" w:rsidRDefault="004E1E72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627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</w:t>
      </w: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3DD" w:rsidRDefault="004013DD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4013DD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</w:t>
      </w:r>
    </w:p>
    <w:p w:rsid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</w:t>
      </w:r>
      <w:r w:rsidR="005627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к муниципальной программе </w:t>
      </w:r>
    </w:p>
    <w:p w:rsidR="0024112B" w:rsidRPr="0024112B" w:rsidRDefault="0024112B" w:rsidP="0024112B">
      <w:pPr>
        <w:shd w:val="clear" w:color="auto" w:fill="FFFFFF"/>
        <w:spacing w:after="0" w:line="240" w:lineRule="auto"/>
        <w:ind w:left="5387"/>
        <w:rPr>
          <w:rFonts w:ascii="yandex-sans" w:eastAsia="Times New Roman" w:hAnsi="yandex-sans" w:cs="Times New Roman"/>
          <w:color w:val="000000"/>
          <w:lang w:eastAsia="ru-RU"/>
        </w:rPr>
      </w:pPr>
      <w:r w:rsidRPr="0024112B">
        <w:rPr>
          <w:rFonts w:ascii="Times New Roman" w:hAnsi="Times New Roman" w:cs="Times New Roman"/>
        </w:rPr>
        <w:t>«Противодействие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годы»</w:t>
      </w:r>
    </w:p>
    <w:p w:rsidR="0024112B" w:rsidRPr="0024112B" w:rsidRDefault="0024112B" w:rsidP="004013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24112B"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              </w:t>
      </w:r>
    </w:p>
    <w:p w:rsidR="009F4FA1" w:rsidRDefault="009F4FA1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4FA1" w:rsidRPr="009F4FA1" w:rsidRDefault="009F4FA1" w:rsidP="009F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9F4FA1" w:rsidRPr="009F4FA1" w:rsidRDefault="009F4FA1" w:rsidP="009F4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мероприятий программы</w:t>
      </w:r>
    </w:p>
    <w:p w:rsidR="009F4FA1" w:rsidRDefault="009F4FA1" w:rsidP="009F4FA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2"/>
        <w:gridCol w:w="1769"/>
        <w:gridCol w:w="1760"/>
        <w:gridCol w:w="36"/>
        <w:gridCol w:w="1214"/>
        <w:gridCol w:w="62"/>
        <w:gridCol w:w="1184"/>
        <w:gridCol w:w="1517"/>
        <w:gridCol w:w="134"/>
        <w:gridCol w:w="1383"/>
      </w:tblGrid>
      <w:tr w:rsidR="00125191" w:rsidRPr="009F4FA1" w:rsidTr="00125191">
        <w:trPr>
          <w:trHeight w:val="420"/>
        </w:trPr>
        <w:tc>
          <w:tcPr>
            <w:tcW w:w="512" w:type="dxa"/>
            <w:vMerge w:val="restart"/>
          </w:tcPr>
          <w:p w:rsid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60" w:type="dxa"/>
            <w:vMerge w:val="restart"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96" w:type="dxa"/>
            <w:gridSpan w:val="4"/>
          </w:tcPr>
          <w:p w:rsidR="009F4FA1" w:rsidRP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17" w:type="dxa"/>
            <w:vMerge w:val="restart"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резульат</w:t>
            </w:r>
          </w:p>
        </w:tc>
        <w:tc>
          <w:tcPr>
            <w:tcW w:w="1517" w:type="dxa"/>
            <w:gridSpan w:val="2"/>
            <w:vMerge w:val="restart"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мероприятия с показателями программы</w:t>
            </w:r>
          </w:p>
        </w:tc>
      </w:tr>
      <w:tr w:rsidR="00125191" w:rsidRPr="009F4FA1" w:rsidTr="00125191">
        <w:trPr>
          <w:trHeight w:val="690"/>
        </w:trPr>
        <w:tc>
          <w:tcPr>
            <w:tcW w:w="512" w:type="dxa"/>
            <w:vMerge/>
          </w:tcPr>
          <w:p w:rsid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9F4FA1" w:rsidRP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246" w:type="dxa"/>
            <w:gridSpan w:val="2"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1517" w:type="dxa"/>
            <w:vMerge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vMerge/>
          </w:tcPr>
          <w:p w:rsidR="009F4FA1" w:rsidRPr="009F4FA1" w:rsidRDefault="009F4FA1" w:rsidP="009F4F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191" w:rsidRPr="009F4FA1" w:rsidTr="00125191">
        <w:trPr>
          <w:trHeight w:val="690"/>
        </w:trPr>
        <w:tc>
          <w:tcPr>
            <w:tcW w:w="512" w:type="dxa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gridSpan w:val="2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gridSpan w:val="2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</w:tcPr>
          <w:p w:rsidR="009F4FA1" w:rsidRP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</w:tcPr>
          <w:p w:rsidR="009F4FA1" w:rsidRP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4FA1" w:rsidRPr="009F4FA1" w:rsidTr="00125191">
        <w:trPr>
          <w:trHeight w:val="308"/>
        </w:trPr>
        <w:tc>
          <w:tcPr>
            <w:tcW w:w="9571" w:type="dxa"/>
            <w:gridSpan w:val="10"/>
          </w:tcPr>
          <w:p w:rsidR="009F4FA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меропиятия муниципальной программы</w:t>
            </w:r>
            <w:proofErr w:type="gramEnd"/>
          </w:p>
        </w:tc>
      </w:tr>
      <w:tr w:rsidR="00125191" w:rsidRPr="00125191" w:rsidTr="00125191">
        <w:trPr>
          <w:trHeight w:val="308"/>
        </w:trPr>
        <w:tc>
          <w:tcPr>
            <w:tcW w:w="512" w:type="dxa"/>
          </w:tcPr>
          <w:p w:rsidR="009F4FA1" w:rsidRPr="0012519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769" w:type="dxa"/>
          </w:tcPr>
          <w:p w:rsidR="009F4FA1" w:rsidRPr="00125191" w:rsidRDefault="009F4FA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125191" w:rsidRPr="00125191">
              <w:rPr>
                <w:rFonts w:ascii="Times New Roman" w:hAnsi="Times New Roman" w:cs="Times New Roman"/>
                <w:lang w:eastAsia="ru-RU"/>
              </w:rPr>
              <w:t>№</w:t>
            </w:r>
            <w:r w:rsidRPr="00125191">
              <w:rPr>
                <w:rFonts w:ascii="Times New Roman" w:hAnsi="Times New Roman" w:cs="Times New Roman"/>
                <w:lang w:eastAsia="ru-RU"/>
              </w:rPr>
              <w:t>1</w:t>
            </w:r>
            <w:r w:rsidR="00125191" w:rsidRPr="0012519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25191">
              <w:rPr>
                <w:rFonts w:ascii="Times New Roman" w:hAnsi="Times New Roman" w:cs="Times New Roman"/>
                <w:bCs/>
              </w:rPr>
              <w:t>Организационные и пропагандистские мероприятия</w:t>
            </w:r>
          </w:p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gridSpan w:val="2"/>
          </w:tcPr>
          <w:p w:rsidR="009F4FA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9F4FA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9F4FA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651" w:type="dxa"/>
            <w:gridSpan w:val="2"/>
          </w:tcPr>
          <w:p w:rsidR="009F4FA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сведение к минимуму причин и условий, которые могут привести к совершению террористических актов на территории муниципального образования город Киржач Киржачского района Владимирской области</w:t>
            </w:r>
          </w:p>
        </w:tc>
        <w:tc>
          <w:tcPr>
            <w:tcW w:w="1383" w:type="dxa"/>
          </w:tcPr>
          <w:p w:rsidR="009F4FA1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П.1,3,8,9</w:t>
            </w:r>
          </w:p>
          <w:p w:rsidR="00E13485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раздела 6</w:t>
            </w:r>
          </w:p>
          <w:p w:rsidR="00E13485" w:rsidRPr="00125191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125191" w:rsidRPr="00125191" w:rsidTr="003929BD">
        <w:trPr>
          <w:trHeight w:val="308"/>
        </w:trPr>
        <w:tc>
          <w:tcPr>
            <w:tcW w:w="512" w:type="dxa"/>
          </w:tcPr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769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№2:</w:t>
            </w:r>
          </w:p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акций «Внимание – экстремизм!», «Терроризму нет»</w:t>
            </w:r>
          </w:p>
        </w:tc>
        <w:tc>
          <w:tcPr>
            <w:tcW w:w="1796" w:type="dxa"/>
            <w:gridSpan w:val="2"/>
          </w:tcPr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651" w:type="dxa"/>
            <w:gridSpan w:val="2"/>
          </w:tcPr>
          <w:p w:rsidR="003929BD" w:rsidRPr="003929BD" w:rsidRDefault="003929BD" w:rsidP="003929B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9BD">
              <w:rPr>
                <w:rFonts w:ascii="Times New Roman" w:hAnsi="Times New Roman" w:cs="Times New Roman"/>
                <w:lang w:eastAsia="ru-RU"/>
              </w:rPr>
              <w:t>гармонизация межнациональных отношений, повышение уровня этносоциальной комфортности;</w:t>
            </w:r>
          </w:p>
          <w:p w:rsidR="003929BD" w:rsidRPr="003929BD" w:rsidRDefault="003929BD" w:rsidP="003929B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9BD">
              <w:rPr>
                <w:rFonts w:ascii="Times New Roman" w:hAnsi="Times New Roman" w:cs="Times New Roman"/>
                <w:lang w:eastAsia="ru-RU"/>
              </w:rPr>
              <w:t xml:space="preserve"> укрепление в молодёжной среде атмосферы межэтнического согласия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толерантности</w:t>
            </w:r>
          </w:p>
          <w:p w:rsidR="00125191" w:rsidRPr="00125191" w:rsidRDefault="00125191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125191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П.2</w:t>
            </w:r>
          </w:p>
          <w:p w:rsidR="00E13485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раздела 6</w:t>
            </w:r>
          </w:p>
          <w:p w:rsidR="00E13485" w:rsidRPr="00125191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3929BD" w:rsidRPr="00125191" w:rsidTr="003929BD">
        <w:trPr>
          <w:trHeight w:val="308"/>
        </w:trPr>
        <w:tc>
          <w:tcPr>
            <w:tcW w:w="512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769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№3:</w:t>
            </w:r>
          </w:p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Изготовление печатных памяток по тематике противодействия экстремизму и терроризму </w:t>
            </w:r>
          </w:p>
        </w:tc>
        <w:tc>
          <w:tcPr>
            <w:tcW w:w="1796" w:type="dxa"/>
            <w:gridSpan w:val="2"/>
          </w:tcPr>
          <w:p w:rsidR="003929BD" w:rsidRPr="00125191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651" w:type="dxa"/>
            <w:gridSpan w:val="2"/>
          </w:tcPr>
          <w:p w:rsidR="003929BD" w:rsidRPr="003929BD" w:rsidRDefault="003929BD" w:rsidP="003929B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9BD">
              <w:rPr>
                <w:rFonts w:ascii="Times New Roman" w:hAnsi="Times New Roman" w:cs="Times New Roman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города Киржач Киржачского района Владимирской области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распространение среди жителей </w:t>
            </w:r>
          </w:p>
        </w:tc>
        <w:tc>
          <w:tcPr>
            <w:tcW w:w="1383" w:type="dxa"/>
          </w:tcPr>
          <w:p w:rsidR="003929BD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П.4</w:t>
            </w:r>
          </w:p>
          <w:p w:rsidR="00E13485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раздела 6</w:t>
            </w:r>
          </w:p>
          <w:p w:rsidR="00E13485" w:rsidRPr="00125191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  <w:tr w:rsidR="003929BD" w:rsidRPr="00125191" w:rsidTr="00125191">
        <w:trPr>
          <w:trHeight w:val="308"/>
        </w:trPr>
        <w:tc>
          <w:tcPr>
            <w:tcW w:w="512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769" w:type="dxa"/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№4:</w:t>
            </w:r>
          </w:p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Технологическое присоединение к электросетям видеокамер уличного видеонаблюдения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3929BD" w:rsidRPr="00125191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ГО и ЧС администрации г. Киржач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929BD" w:rsidRDefault="003929BD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3929BD" w:rsidRPr="003929BD" w:rsidRDefault="003929BD" w:rsidP="003929B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Пресечение нарушений общественного порядка, расширение сегмента видеонаблюдения в городе Киржач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929BD" w:rsidRDefault="00E13485" w:rsidP="009F4F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П.5,6,7</w:t>
            </w:r>
          </w:p>
          <w:p w:rsidR="00E13485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раздела 6</w:t>
            </w:r>
          </w:p>
          <w:p w:rsidR="00E13485" w:rsidRPr="00125191" w:rsidRDefault="00E13485" w:rsidP="00E1348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</w:tc>
      </w:tr>
    </w:tbl>
    <w:p w:rsidR="009F4FA1" w:rsidRPr="009F4FA1" w:rsidRDefault="009F4FA1" w:rsidP="009F4F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72" w:rsidRDefault="004E1E72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Приложение №2                                                                                              к муниципальной программе </w:t>
      </w:r>
      <w:r w:rsidRPr="0024112B">
        <w:rPr>
          <w:rFonts w:ascii="Times New Roman" w:hAnsi="Times New Roman" w:cs="Times New Roman"/>
        </w:rPr>
        <w:t>«Противодействие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годы»</w:t>
      </w: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</w:p>
    <w:p w:rsidR="0024112B" w:rsidRPr="0024112B" w:rsidRDefault="0024112B" w:rsidP="002411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мероприятий муниципальной программы</w:t>
      </w:r>
      <w:r w:rsidR="00A725EB">
        <w:rPr>
          <w:rFonts w:ascii="Times New Roman" w:hAnsi="Times New Roman" w:cs="Times New Roman"/>
          <w:sz w:val="28"/>
          <w:szCs w:val="28"/>
        </w:rPr>
        <w:t xml:space="preserve"> </w:t>
      </w:r>
      <w:r w:rsidRPr="004013DD">
        <w:rPr>
          <w:rFonts w:ascii="Times New Roman" w:hAnsi="Times New Roman" w:cs="Times New Roman"/>
          <w:sz w:val="28"/>
          <w:szCs w:val="28"/>
        </w:rPr>
        <w:t>«Противодействие экстремизму и профилактика терроризма на территории муниципального образования  город Киржач Киржачского района Владимирской области  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2B" w:rsidRDefault="0024112B" w:rsidP="0024112B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56"/>
        <w:gridCol w:w="1690"/>
        <w:gridCol w:w="1485"/>
        <w:gridCol w:w="1485"/>
        <w:gridCol w:w="1485"/>
        <w:gridCol w:w="1485"/>
        <w:gridCol w:w="1485"/>
      </w:tblGrid>
      <w:tr w:rsidR="0024112B" w:rsidTr="005D1A11">
        <w:trPr>
          <w:trHeight w:val="240"/>
        </w:trPr>
        <w:tc>
          <w:tcPr>
            <w:tcW w:w="675" w:type="dxa"/>
            <w:vMerge w:val="restart"/>
          </w:tcPr>
          <w:p w:rsidR="0024112B" w:rsidRDefault="0024112B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№</w:t>
            </w:r>
          </w:p>
          <w:p w:rsidR="0024112B" w:rsidRDefault="0024112B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/п</w:t>
            </w:r>
          </w:p>
        </w:tc>
        <w:tc>
          <w:tcPr>
            <w:tcW w:w="2059" w:type="dxa"/>
            <w:vMerge w:val="restart"/>
          </w:tcPr>
          <w:p w:rsidR="0024112B" w:rsidRDefault="0024112B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6837" w:type="dxa"/>
            <w:gridSpan w:val="5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бъем финансирования (тыс. рублей)</w:t>
            </w:r>
          </w:p>
        </w:tc>
      </w:tr>
      <w:tr w:rsidR="0024112B" w:rsidTr="0024112B">
        <w:trPr>
          <w:trHeight w:val="270"/>
        </w:trPr>
        <w:tc>
          <w:tcPr>
            <w:tcW w:w="675" w:type="dxa"/>
            <w:vMerge/>
          </w:tcPr>
          <w:p w:rsidR="0024112B" w:rsidRDefault="0024112B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</w:tcPr>
          <w:p w:rsidR="0024112B" w:rsidRDefault="0024112B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2021</w:t>
            </w:r>
          </w:p>
        </w:tc>
        <w:tc>
          <w:tcPr>
            <w:tcW w:w="1367" w:type="dxa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2022</w:t>
            </w:r>
          </w:p>
        </w:tc>
        <w:tc>
          <w:tcPr>
            <w:tcW w:w="1367" w:type="dxa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2023</w:t>
            </w:r>
          </w:p>
        </w:tc>
        <w:tc>
          <w:tcPr>
            <w:tcW w:w="1368" w:type="dxa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2024</w:t>
            </w:r>
          </w:p>
        </w:tc>
        <w:tc>
          <w:tcPr>
            <w:tcW w:w="1368" w:type="dxa"/>
          </w:tcPr>
          <w:p w:rsidR="0024112B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2025</w:t>
            </w:r>
          </w:p>
        </w:tc>
      </w:tr>
      <w:tr w:rsidR="00BF0328" w:rsidTr="0024112B">
        <w:trPr>
          <w:trHeight w:val="270"/>
        </w:trPr>
        <w:tc>
          <w:tcPr>
            <w:tcW w:w="675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1.</w:t>
            </w:r>
          </w:p>
        </w:tc>
        <w:tc>
          <w:tcPr>
            <w:tcW w:w="2059" w:type="dxa"/>
          </w:tcPr>
          <w:p w:rsidR="00BF0328" w:rsidRPr="00125191" w:rsidRDefault="00BF0328" w:rsidP="004F72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5191">
              <w:rPr>
                <w:rFonts w:ascii="Times New Roman" w:hAnsi="Times New Roman" w:cs="Times New Roman"/>
                <w:lang w:eastAsia="ru-RU"/>
              </w:rPr>
              <w:t>Основное мероприятие №1:</w:t>
            </w:r>
          </w:p>
          <w:p w:rsidR="00BF0328" w:rsidRPr="00125191" w:rsidRDefault="00BF0328" w:rsidP="004F722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25191">
              <w:rPr>
                <w:rFonts w:ascii="Times New Roman" w:hAnsi="Times New Roman" w:cs="Times New Roman"/>
                <w:bCs/>
              </w:rPr>
              <w:t>Организационные и пропагандистские мероприятия</w:t>
            </w:r>
          </w:p>
          <w:p w:rsidR="00BF0328" w:rsidRPr="00125191" w:rsidRDefault="00BF0328" w:rsidP="004F72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</w:tr>
      <w:tr w:rsidR="00BF0328" w:rsidTr="0024112B">
        <w:trPr>
          <w:trHeight w:val="270"/>
        </w:trPr>
        <w:tc>
          <w:tcPr>
            <w:tcW w:w="675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2.</w:t>
            </w:r>
          </w:p>
        </w:tc>
        <w:tc>
          <w:tcPr>
            <w:tcW w:w="2059" w:type="dxa"/>
          </w:tcPr>
          <w:p w:rsidR="00BF0328" w:rsidRDefault="00BF0328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№2:</w:t>
            </w:r>
          </w:p>
          <w:p w:rsidR="00BF0328" w:rsidRPr="00125191" w:rsidRDefault="00BF0328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акций «Внимание – экстремизм!», «Терроризму нет»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</w:tr>
      <w:tr w:rsidR="00BF0328" w:rsidTr="0024112B">
        <w:trPr>
          <w:trHeight w:val="270"/>
        </w:trPr>
        <w:tc>
          <w:tcPr>
            <w:tcW w:w="675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3.</w:t>
            </w:r>
          </w:p>
        </w:tc>
        <w:tc>
          <w:tcPr>
            <w:tcW w:w="2059" w:type="dxa"/>
          </w:tcPr>
          <w:p w:rsidR="00BF0328" w:rsidRDefault="00BF0328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№3:</w:t>
            </w:r>
          </w:p>
          <w:p w:rsidR="00BF0328" w:rsidRDefault="00BF0328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без</w:t>
            </w:r>
          </w:p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10,0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10,0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10,0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10,0</w:t>
            </w:r>
          </w:p>
        </w:tc>
      </w:tr>
      <w:tr w:rsidR="00BF0328" w:rsidTr="0024112B">
        <w:trPr>
          <w:trHeight w:val="270"/>
        </w:trPr>
        <w:tc>
          <w:tcPr>
            <w:tcW w:w="675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4.</w:t>
            </w:r>
          </w:p>
        </w:tc>
        <w:tc>
          <w:tcPr>
            <w:tcW w:w="2059" w:type="dxa"/>
          </w:tcPr>
          <w:p w:rsidR="00BF0328" w:rsidRDefault="00BF0328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№4:</w:t>
            </w:r>
          </w:p>
          <w:p w:rsidR="00BF0328" w:rsidRDefault="00A034AA" w:rsidP="00BF032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Расходы по обеспечению работоспособности городской системы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видеонаблюдения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100,0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90,0</w:t>
            </w:r>
          </w:p>
        </w:tc>
        <w:tc>
          <w:tcPr>
            <w:tcW w:w="1367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90,0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90,0</w:t>
            </w:r>
          </w:p>
        </w:tc>
        <w:tc>
          <w:tcPr>
            <w:tcW w:w="1368" w:type="dxa"/>
          </w:tcPr>
          <w:p w:rsidR="00BF0328" w:rsidRDefault="00BF0328" w:rsidP="00BF032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90,0</w:t>
            </w:r>
          </w:p>
        </w:tc>
      </w:tr>
    </w:tbl>
    <w:p w:rsidR="0024112B" w:rsidRPr="0024112B" w:rsidRDefault="0024112B" w:rsidP="00BF03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24112B" w:rsidRPr="004E1E72" w:rsidRDefault="0024112B" w:rsidP="004E1E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1E72" w:rsidRDefault="004E1E72" w:rsidP="00D074F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FE" w:rsidRDefault="00D074FE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FE" w:rsidRDefault="00D074FE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FE" w:rsidRDefault="00D074FE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4FE" w:rsidRPr="00406021" w:rsidRDefault="00D074FE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021" w:rsidRP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021" w:rsidRPr="00406021" w:rsidRDefault="00406021" w:rsidP="004060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F46" w:rsidRPr="00406021" w:rsidRDefault="00473F46" w:rsidP="004060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3F46" w:rsidRPr="00406021" w:rsidSect="0083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B1"/>
    <w:rsid w:val="00125191"/>
    <w:rsid w:val="001C5828"/>
    <w:rsid w:val="0024112B"/>
    <w:rsid w:val="00323455"/>
    <w:rsid w:val="003929BD"/>
    <w:rsid w:val="004013DD"/>
    <w:rsid w:val="00406021"/>
    <w:rsid w:val="00426BB1"/>
    <w:rsid w:val="00470CD9"/>
    <w:rsid w:val="00473F46"/>
    <w:rsid w:val="004C434B"/>
    <w:rsid w:val="004E1E72"/>
    <w:rsid w:val="004E5744"/>
    <w:rsid w:val="00562713"/>
    <w:rsid w:val="005B2A55"/>
    <w:rsid w:val="0072690F"/>
    <w:rsid w:val="008352A9"/>
    <w:rsid w:val="009F4FA1"/>
    <w:rsid w:val="00A034AA"/>
    <w:rsid w:val="00A725EB"/>
    <w:rsid w:val="00AA6487"/>
    <w:rsid w:val="00BF0328"/>
    <w:rsid w:val="00C804AD"/>
    <w:rsid w:val="00D074FE"/>
    <w:rsid w:val="00D572BA"/>
    <w:rsid w:val="00DA7EF0"/>
    <w:rsid w:val="00E13485"/>
    <w:rsid w:val="00E41030"/>
    <w:rsid w:val="00F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9"/>
  </w:style>
  <w:style w:type="paragraph" w:styleId="5">
    <w:name w:val="heading 5"/>
    <w:basedOn w:val="a"/>
    <w:link w:val="50"/>
    <w:uiPriority w:val="9"/>
    <w:qFormat/>
    <w:rsid w:val="00FD5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B1"/>
    <w:pPr>
      <w:spacing w:after="0" w:line="240" w:lineRule="auto"/>
    </w:pPr>
  </w:style>
  <w:style w:type="table" w:styleId="a4">
    <w:name w:val="Table Grid"/>
    <w:basedOn w:val="a1"/>
    <w:uiPriority w:val="59"/>
    <w:rsid w:val="0042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B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26B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5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5B34"/>
    <w:rPr>
      <w:b/>
      <w:bCs/>
    </w:rPr>
  </w:style>
  <w:style w:type="character" w:styleId="a8">
    <w:name w:val="Hyperlink"/>
    <w:basedOn w:val="a0"/>
    <w:uiPriority w:val="99"/>
    <w:semiHidden/>
    <w:unhideWhenUsed/>
    <w:rsid w:val="00FD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694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0F0B-4F6A-47B5-82F6-B398A88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2021-06-30T06:44:00Z</cp:lastPrinted>
  <dcterms:created xsi:type="dcterms:W3CDTF">2021-06-28T08:03:00Z</dcterms:created>
  <dcterms:modified xsi:type="dcterms:W3CDTF">2021-06-30T07:52:00Z</dcterms:modified>
</cp:coreProperties>
</file>