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Дополнительные гарантии военнослужащим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Согласно статьям 357.1 Трудового кодекса Российской Федерации, 53.1 Федерального закона от 27.07.2004 № 79-ФЗ «О государственной гражданской службе Российской Федерации» в случае призыва работника (государственного слу</w:t>
      </w:r>
      <w:r>
        <w:rPr>
          <w:rFonts w:ascii="Times New Roman" w:hAnsi="Times New Roman"/>
          <w:b w:val="0"/>
          <w:color w:val="000000"/>
          <w:sz w:val="28"/>
        </w:rPr>
        <w:t xml:space="preserve">жащего) на военную службу по мобилизации,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мобилизации, в период военного положения или в военное время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ли</w:t>
      </w:r>
      <w:r>
        <w:rPr>
          <w:rFonts w:ascii="Times New Roman" w:hAnsi="Times New Roman"/>
          <w:b w:val="0"/>
          <w:color w:val="000000"/>
          <w:sz w:val="28"/>
        </w:rPr>
        <w:t xml:space="preserve">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(далее – работник), действие трудового договора, заключенного между работником и работодате</w:t>
      </w:r>
      <w:r>
        <w:rPr>
          <w:rFonts w:ascii="Times New Roman" w:hAnsi="Times New Roman"/>
          <w:b w:val="0"/>
          <w:color w:val="000000"/>
          <w:sz w:val="28"/>
        </w:rPr>
        <w:t xml:space="preserve">лем, приостанавливается на период прохождения работником военной службы, службы в войсках национальной гвардии Российской Федерации или оказания им добровольного содействия в выполнении задач, возложенных на Вооруженные Силы Российской Федерации или войска</w:t>
      </w:r>
      <w:r>
        <w:rPr>
          <w:rFonts w:ascii="Times New Roman" w:hAnsi="Times New Roman"/>
          <w:b w:val="0"/>
          <w:color w:val="000000"/>
          <w:sz w:val="28"/>
        </w:rPr>
        <w:t xml:space="preserve"> национальной гвардии Российской Федерации.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Федеральным законом от 29.09.2025 № 365-ФЗ внесены изменения, согласно которым с 29 сентября 2025 года в случае, если </w:t>
      </w:r>
      <w:r>
        <w:rPr>
          <w:rFonts w:ascii="Times New Roman" w:hAnsi="Times New Roman"/>
          <w:b w:val="0"/>
          <w:color w:val="000000"/>
          <w:sz w:val="28"/>
        </w:rPr>
        <w:t xml:space="preserve">лицом, утратившим трудоспособность в период приостановления действия трудового договора после окончания прохождения военной службы будет</w:t>
      </w:r>
      <w:r>
        <w:rPr>
          <w:rFonts w:ascii="Times New Roman" w:hAnsi="Times New Roman"/>
          <w:b w:val="0"/>
          <w:color w:val="000000"/>
          <w:sz w:val="28"/>
        </w:rPr>
        <w:t xml:space="preserve"> оформлен лист временной нетрудоспособности, то работодатель должен продлить приостановление действия трудового договора на период его нетрудоспособности.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Ранее если работник не вернулся на работу через 3 месяца после окончания службы, работодатель вправе был уволить его по собственной инициативе.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Соответствующее пособие за первые три дня временной нетрудоспособности выплачивается за счет средств страхователя, а за остальной </w:t>
      </w:r>
      <w:r>
        <w:rPr>
          <w:rFonts w:ascii="Times New Roman" w:hAnsi="Times New Roman"/>
          <w:b w:val="0"/>
          <w:color w:val="000000"/>
          <w:sz w:val="28"/>
        </w:rPr>
        <w:t xml:space="preserve">период</w:t>
      </w:r>
      <w:r>
        <w:rPr>
          <w:rFonts w:ascii="Times New Roman" w:hAnsi="Times New Roman"/>
          <w:b w:val="0"/>
          <w:color w:val="000000"/>
          <w:sz w:val="28"/>
        </w:rPr>
        <w:t xml:space="preserve"> начиная с 4-го дня временной нетрудоспособности за счет средств бюджета Фонда пенсионного и социального страхования Российской Федерации.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Гарантии для несовершеннолетних работников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Федеральным законом от 04.11.2025 № 408-ФЗ в Федеральный закон от 24.07.1998 № 124-ФЗ «Об основных гарантиях прав ребенка в Российской Федерации» внесены изменения, касающиеся трудовых гарантий и льгот работников в возрасте до 18 лет.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 4 ноября 2025 года работодатели должны выделять рабочие места или должности специально для трудоустройства несовершеннолетних, находящихся под социальной защитой или определение числа рабочих мест для трудоустройства таких граждан.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случае приема на работу несовершеннолетних им гарантируются вознаграждение за труд, охрана труда, сокращенное рабочее время, отпуск.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 xml:space="preserve">В частности, для не достигших 18 лет работников обязательно прохождение предварительного медицинского осмотра.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 этом установлен запрет на привлечение подростков к тяжелым и опасным работам, в ночное время, к сверхурочным работам, а также определение им испытательного срока.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Ежегодный оплачиваемый отпуск для несовершеннолетних граждан составляет не менее 31 календарного дня.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Для работников в возрасте до 16 лет установлена сокращенная продолжительность рабочего времени – не более 24 часов в неделю, от 16 до 18 лет – не более 35 часов в неделю.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Указанным лицам также предоставляются гарантии и льготы при совмещении работы с обучением, расторжении трудового договора и др.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совершенствовании системы обязательного медицинского страхования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Федеральным з</w:t>
      </w:r>
      <w:r>
        <w:rPr>
          <w:rFonts w:ascii="Times New Roman" w:hAnsi="Times New Roman"/>
          <w:b w:val="0"/>
          <w:color w:val="000000"/>
          <w:sz w:val="28"/>
        </w:rPr>
        <w:t xml:space="preserve">аконом от 28.11.2025 № 430-ФЗ «О внесении изменений в Федеральный закон «Об обязательном медицинском страховании в Российской Федерации» ужесточаются условия оказания бесплатной медицинской помощи иностранцам. Теперь временно пребывающие и работающие на те</w:t>
      </w:r>
      <w:r>
        <w:rPr>
          <w:rFonts w:ascii="Times New Roman" w:hAnsi="Times New Roman"/>
          <w:b w:val="0"/>
          <w:color w:val="000000"/>
          <w:sz w:val="28"/>
        </w:rPr>
        <w:t xml:space="preserve">рритории РФ иностранцы смогут приобрести права застрахованных лиц при уплате за них страхователями страховых взносов на ОМС в течение не менее пяти лет. Ранее минимальный срок уплаты страховых взносов для получения иностранцем полиса ОМС составлял 3 года.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Кроме того, установлено, что при осуществлении территориальным фондом на территории субъекта РФ полномочий страховых медицинских</w:t>
      </w:r>
      <w:r>
        <w:rPr>
          <w:rFonts w:ascii="Times New Roman" w:hAnsi="Times New Roman"/>
          <w:b w:val="0"/>
          <w:color w:val="000000"/>
          <w:sz w:val="28"/>
        </w:rPr>
        <w:t xml:space="preserve"> организаций Федеральный фонд обязательного медицинского страхования будет оказывать методическую и консультативную помощь при получении соответствующего обращения территориального фонда, а также осуществлять в отношении территориального фонда мониторинг.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Также законом дополняются полномочия страховщика, </w:t>
      </w:r>
      <w:r>
        <w:rPr>
          <w:rFonts w:ascii="Times New Roman" w:hAnsi="Times New Roman"/>
          <w:b w:val="0"/>
          <w:color w:val="000000"/>
          <w:sz w:val="28"/>
        </w:rPr>
        <w:t xml:space="preserve">осуществляемые территориальными фондами ОМС ДНР, ЛНР, Херсонской и Запорожской областей, и устанавливаются особенности финансового обеспечения медицинской помощи, включенной в базовую программу ОМС, на территориях указанных субъектов Российской Федерации.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Помимо прочего, уточняется порядок использования медицинскими организациями средств ОМС после завершения участия медицинских организаций в реализации программ ОМС.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в пенсионное законодательство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соответствии с Федеральным законом от 28.11.2025 № 443-ФЗ «О внесении изменений в статьи 1 и 2 Федерального закона «О дополнительном еже</w:t>
      </w:r>
      <w:r>
        <w:rPr>
          <w:rFonts w:ascii="Times New Roman" w:hAnsi="Times New Roman"/>
          <w:b w:val="0"/>
          <w:color w:val="000000"/>
          <w:sz w:val="28"/>
        </w:rPr>
        <w:t xml:space="preserve">месячном материальном обеспечении граждан Российской Федерации за выдающиеся достижения и особые заслуги перед Российской Федерацией» и Федеральный закон «О страховых пенсиях» установлены дополнительные гарантии пенсионного обеспечения для семей с детьми.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Принятым законом в перечень лиц, имеющих право на дополнительное материальное обеспечение, включены женщины, которы</w:t>
      </w:r>
      <w:r>
        <w:rPr>
          <w:rFonts w:ascii="Times New Roman" w:hAnsi="Times New Roman"/>
          <w:b w:val="0"/>
          <w:color w:val="000000"/>
          <w:sz w:val="28"/>
        </w:rPr>
        <w:t xml:space="preserve">м присвоено звание «Мать-героиня». Размер дополнительного материального обеспечения составит 415% размера социальной пенсии, указанного в подпункте 1 пункта 1 статьи 18 Федерального закона «О государственном пенсионном обеспечении в Российской Федерации».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Кроме </w:t>
      </w:r>
      <w:r>
        <w:rPr>
          <w:rFonts w:ascii="Times New Roman" w:hAnsi="Times New Roman"/>
          <w:b w:val="0"/>
          <w:color w:val="000000"/>
          <w:sz w:val="28"/>
        </w:rPr>
        <w:t xml:space="preserve">того,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лет, без установленного ранее ограничения «не более шести лет в общей сложности»</w:t>
      </w:r>
      <w:r>
        <w:rPr>
          <w:rFonts w:ascii="Times New Roman" w:hAnsi="Times New Roman"/>
          <w:b w:val="0"/>
          <w:color w:val="000000"/>
          <w:sz w:val="28"/>
        </w:rPr>
        <w:t xml:space="preserve">.П</w:t>
      </w:r>
      <w:r>
        <w:rPr>
          <w:rFonts w:ascii="Times New Roman" w:hAnsi="Times New Roman"/>
          <w:b w:val="0"/>
          <w:color w:val="000000"/>
          <w:sz w:val="28"/>
        </w:rPr>
        <w:t xml:space="preserve">ерио</w:t>
      </w:r>
      <w:r>
        <w:rPr>
          <w:rFonts w:ascii="Times New Roman" w:hAnsi="Times New Roman"/>
          <w:b w:val="0"/>
          <w:color w:val="000000"/>
          <w:sz w:val="28"/>
        </w:rPr>
        <w:t xml:space="preserve">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Федеральный закон вступает в силу с 1 января 2026 года.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 01.01.2026 в соответствии с Федеральным законом от 28.11.2025 № 441-ФЗ «О внесении изменений в Федеральный закон «Об образовании в Российской Федерации» 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 01.01.2026</w:t>
      </w:r>
      <w:r>
        <w:rPr>
          <w:rFonts w:ascii="Times New Roman" w:hAnsi="Times New Roman"/>
          <w:b w:val="0"/>
          <w:color w:val="000000"/>
          <w:sz w:val="28"/>
        </w:rPr>
        <w:t xml:space="preserve"> в соответствии с Федеральным законом от 28.11.2025 № 441-ФЗ «О внесении изменений в Федеральный закон «Об образовании в Российской Федерации» девятиклассники, не прошедшие государственную итоговую аттестацию, смогут получить профессиональное образование.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</w:t>
      </w:r>
      <w:r>
        <w:rPr>
          <w:rFonts w:ascii="Times New Roman" w:hAnsi="Times New Roman"/>
          <w:b w:val="0"/>
          <w:color w:val="000000"/>
          <w:sz w:val="28"/>
        </w:rPr>
        <w:t xml:space="preserve">о обучения по программам профессиональной подготовки по профессиям рабочих, должностям служащих лицам,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Органы государственной власти</w:t>
      </w:r>
      <w:r>
        <w:rPr>
          <w:rFonts w:ascii="Times New Roman" w:hAnsi="Times New Roman"/>
          <w:b w:val="0"/>
          <w:color w:val="000000"/>
          <w:sz w:val="28"/>
        </w:rPr>
        <w:t xml:space="preserve"> субъектов Российской Федерации определят перечень профессий, по которым осуществляется профессиональное обучение указанных лиц, а также перечень образовательных организаций, в которых будет проводиться профессиональное обучение, и порядок его проведения.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Минпросвещения</w:t>
      </w:r>
      <w:r>
        <w:rPr>
          <w:rFonts w:ascii="Times New Roman" w:hAnsi="Times New Roman"/>
          <w:b w:val="0"/>
          <w:color w:val="000000"/>
          <w:sz w:val="28"/>
        </w:rPr>
        <w:t xml:space="preserve"> и </w:t>
      </w:r>
      <w:r>
        <w:rPr>
          <w:rFonts w:ascii="Times New Roman" w:hAnsi="Times New Roman"/>
          <w:b w:val="0"/>
          <w:color w:val="000000"/>
          <w:sz w:val="28"/>
        </w:rPr>
        <w:t xml:space="preserve">Рособрнадзор</w:t>
      </w:r>
      <w:r>
        <w:rPr>
          <w:rFonts w:ascii="Times New Roman" w:hAnsi="Times New Roman"/>
          <w:b w:val="0"/>
          <w:color w:val="000000"/>
          <w:sz w:val="28"/>
        </w:rPr>
        <w:t xml:space="preserve"> установят перечень обязательных учебных предметов, по которым проводится государст</w:t>
      </w:r>
      <w:r>
        <w:rPr>
          <w:rFonts w:ascii="Times New Roman" w:hAnsi="Times New Roman"/>
          <w:b w:val="0"/>
          <w:color w:val="000000"/>
          <w:sz w:val="28"/>
        </w:rPr>
        <w:t xml:space="preserve">венная итоговая аттестация по образовательным программам основного общего образования лиц,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Нотариусы обязаны информировать наследников о долгах наследодателя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 24 ноября 2025 года нотариусы начнут информировать наследников о долгах наследодателя. После открытия наследственного дела в течение трех рабочих дней нотариус должен запросить сведения о непогашенных кредитах (</w:t>
      </w:r>
      <w:r>
        <w:rPr>
          <w:rFonts w:ascii="Times New Roman" w:hAnsi="Times New Roman"/>
          <w:b w:val="0"/>
          <w:color w:val="000000"/>
          <w:sz w:val="28"/>
        </w:rPr>
        <w:t xml:space="preserve">микрозаймах</w:t>
      </w:r>
      <w:r>
        <w:rPr>
          <w:rFonts w:ascii="Times New Roman" w:hAnsi="Times New Roman"/>
          <w:b w:val="0"/>
          <w:color w:val="000000"/>
          <w:sz w:val="28"/>
        </w:rPr>
        <w:t xml:space="preserve">).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Не позднее трех рабочих дней после получения этой информации нотариус обязан известить наследников, подавших заявление о принятии наследства, в письменной форме по известному адресу места жительства или адресу электронной почты.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Кроме этого он может ознакомить наследников с полученной информацией при личной явке.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highlight w:val="none"/>
        </w:rPr>
      </w:r>
      <w:r>
        <w:rPr>
          <w:rFonts w:ascii="Times New Roman" w:hAnsi="Times New Roman"/>
          <w:b/>
          <w:color w:val="000000"/>
          <w:sz w:val="28"/>
          <w:highlight w:val="none"/>
        </w:rPr>
      </w:r>
    </w:p>
    <w:p>
      <w:pPr>
        <w:pStyle w:val="718"/>
        <w:pBdr/>
        <w:spacing w:after="0" w:before="0"/>
        <w:ind w:firstLine="68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</w:rPr>
        <w:t xml:space="preserve">Изменен порядок работы призывных комиссий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Принят Федеральный закон от 04.11.2025 № 412-ФЗ «О внесении изменений в Федеральный закон «О воинской обязанности и военной сл</w:t>
      </w:r>
      <w:r>
        <w:rPr>
          <w:rFonts w:ascii="Times New Roman" w:hAnsi="Times New Roman"/>
          <w:b w:val="0"/>
          <w:color w:val="000000"/>
          <w:sz w:val="28"/>
        </w:rPr>
        <w:t xml:space="preserve">ужбе» и статью 11 Федерального закона «Об альтернативной гражданской службе», в котором закреплен круглогодичный порядок работы призывных комиссий. Призыв на военную службу осуществляется ежегодно с 1 января по 31 декабря на основании указа Президента РФ.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Фактическая отправка призывников для прохождения военной службы </w:t>
      </w:r>
      <w:r>
        <w:rPr>
          <w:rFonts w:ascii="Times New Roman" w:hAnsi="Times New Roman"/>
          <w:b w:val="0"/>
          <w:color w:val="000000"/>
          <w:sz w:val="28"/>
        </w:rPr>
        <w:t xml:space="preserve">будет</w:t>
      </w:r>
      <w:r>
        <w:rPr>
          <w:rFonts w:ascii="Times New Roman" w:hAnsi="Times New Roman"/>
          <w:b w:val="0"/>
          <w:color w:val="000000"/>
          <w:sz w:val="28"/>
        </w:rPr>
        <w:t xml:space="preserve"> осуществляется два раза в год с 1 апреля по 15 июля и с 1 октября по 31 декабря.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Для отдельных категорий граждан, таких как, жители районов Крайнего Севера, работники, занятые сельскохозяйственных посевных и уборочных работах, а также педагоги, сохранятся особые сроки призыва, учитывающие специфику их деятельности.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действующее законодательство внесены и другие изменения. Так, закон устанавливает, что явиться в военкомат по электронной повестке необходимо не позднее, чем через 30 дней после её размещения в реестре.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Кроме того, призывная комиссия сможет принимать решения об отсрочке или освобождении от призыва без личного присутствия призывника, а военкоматы получат право выдавать гражданам выписки из реестра воинского учета, в том числе в цифровом виде.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Настоящий Федеральный закон вступает в силу со дня его официального опубликования – 4 ноября, за исключением некоторых положений, вступающих в силу с 1 января 2026 года.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Изменены правила выплат пострадавшим от чрезвычайных ситуаций и террористических актов 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Постановлением Правительства Российской Федерации от 20 ноября 2025 </w:t>
      </w:r>
      <w:r>
        <w:rPr>
          <w:rFonts w:ascii="Times New Roman" w:hAnsi="Times New Roman"/>
          <w:b w:val="0"/>
          <w:color w:val="000000"/>
          <w:sz w:val="28"/>
        </w:rPr>
        <w:t xml:space="preserve">года № 1844 внесены изменения в правила выплат пострадавшим от чрезвычайных ситуаций и террористических актов.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частности</w:t>
      </w:r>
      <w:r>
        <w:rPr>
          <w:rFonts w:ascii="Times New Roman" w:hAnsi="Times New Roman"/>
          <w:b w:val="0"/>
          <w:color w:val="000000"/>
          <w:sz w:val="28"/>
        </w:rPr>
        <w:t xml:space="preserve">, установлен единый размер финансовой помощи в связи с утратой имущества юридическим лицам и гражданам, осуществляющим предпринимательскую деятельность без образования юридического лица и зарегистрированным в установленном порядке, а именно 300 000 рублей.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Скорректированы критерии утраты имущества первой необходимости.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Определено, что выплаты юридическим лицам производятся независимо от страховых выплат, осуществляемых страховщиками по заключенным договорам страхования.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Также данные выплаты юридическим лицам при чрезвычайной ситуации, террористическом акте и (или) при пресечении террористического акта правомерными действиями производятся однократно.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Внесены изменения в Правила подтверждения документов об образовании и (или) о квалификации </w:t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Постановлением Правительства Российской Федерации от 26 ноября 2025 года № 1884 внесены изменения в Правила подтверждения документов об образовании и (или) о квалификации.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частности, дополнен перечень сведений, указываемых в заявлении о подтверждении документов об образовании и (или) о квалификации, скорректирован порядок рассмотрения заявления и прилагаемых к нему документов.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Уточнено, что подтверждение документов об образовании и (или) о квалификации осуществляется по заявлениям граждан, </w:t>
      </w:r>
      <w:r>
        <w:rPr>
          <w:rFonts w:ascii="Times New Roman" w:hAnsi="Times New Roman"/>
          <w:b w:val="0"/>
          <w:color w:val="000000"/>
          <w:sz w:val="28"/>
        </w:rPr>
        <w:t xml:space="preserve">направленным</w:t>
      </w:r>
      <w:r>
        <w:rPr>
          <w:rFonts w:ascii="Times New Roman" w:hAnsi="Times New Roman"/>
          <w:b w:val="0"/>
          <w:color w:val="000000"/>
          <w:sz w:val="28"/>
        </w:rPr>
        <w:t xml:space="preserve"> в том числе почтовым отправлением с уведомлением о вручении и описью вложения.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Факт неуплаты или неполной уплаты государственной пошлины включен в перечень оснований для отказа в подтверждении документа об образовании и (или) о квалификации. </w:t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pBdr/>
        <w:spacing w:after="0" w:before="0" w:line="240" w:lineRule="auto"/>
        <w:ind w:firstLine="68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Предусмотрено, что решение об отказе в подтверждении документа об образовании и (или) о квалификации принимается компетентным органом в срок, не превышающий 25 рабочих дней со дня регистрации заявления.</w:t>
      </w:r>
      <w:r>
        <w:rPr>
          <w:rFonts w:ascii="Times New Roman" w:hAnsi="Times New Roman"/>
          <w:b w:val="0"/>
          <w:color w:val="000000"/>
          <w:sz w:val="28"/>
        </w:rPr>
      </w:r>
    </w:p>
    <w:sectPr>
      <w:headerReference w:type="default" r:id="rId8"/>
      <w:headerReference w:type="even" r:id="rId9"/>
      <w:footnotePr/>
      <w:endnotePr/>
      <w:type w:val="nextPage"/>
      <w:pgSz w:h="16838" w:orient="portrait" w:w="11906"/>
      <w:pgMar w:top="993" w:right="566" w:bottom="568" w:left="1276" w:header="709" w:footer="709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XO Thames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jc w:val="center"/>
      <w:rPr>
        <w:rStyle w:val="699"/>
        <w:sz w:val="24"/>
      </w:rPr>
    </w:pPr>
    <w:r>
      <w:rPr>
        <w:rStyle w:val="699"/>
        <w:sz w:val="24"/>
      </w:rPr>
      <w:fldChar w:fldCharType="begin"/>
    </w:r>
    <w:r>
      <w:rPr>
        <w:rStyle w:val="699"/>
        <w:sz w:val="24"/>
      </w:rPr>
      <w:instrText xml:space="preserve">PAGE </w:instrText>
    </w:r>
    <w:r>
      <w:rPr>
        <w:rStyle w:val="699"/>
        <w:sz w:val="24"/>
      </w:rPr>
      <w:fldChar w:fldCharType="separate"/>
    </w:r>
    <w:r>
      <w:rPr>
        <w:rStyle w:val="699"/>
        <w:sz w:val="24"/>
      </w:rPr>
      <w:t xml:space="preserve"> </w:t>
    </w:r>
    <w:r>
      <w:rPr>
        <w:rStyle w:val="699"/>
        <w:sz w:val="24"/>
      </w:rPr>
      <w:fldChar w:fldCharType="end"/>
    </w:r>
    <w:r>
      <w:rPr>
        <w:rStyle w:val="699"/>
        <w:sz w:val="24"/>
      </w:rPr>
    </w:r>
  </w:p>
  <w:p>
    <w:pPr>
      <w:pStyle w:val="78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jc w:val="center"/>
      <w:rPr>
        <w:rStyle w:val="699"/>
      </w:rPr>
    </w:pPr>
    <w:r>
      <w:rPr>
        <w:rStyle w:val="699"/>
      </w:rPr>
      <w:fldChar w:fldCharType="begin"/>
    </w:r>
    <w:r>
      <w:rPr>
        <w:rStyle w:val="699"/>
      </w:rPr>
      <w:instrText xml:space="preserve">PAGE </w:instrText>
    </w:r>
    <w:r>
      <w:rPr>
        <w:rStyle w:val="699"/>
      </w:rPr>
      <w:fldChar w:fldCharType="separate"/>
    </w:r>
    <w:r>
      <w:rPr>
        <w:rStyle w:val="699"/>
      </w:rPr>
      <w:t xml:space="preserve"> </w:t>
    </w:r>
    <w:r>
      <w:rPr>
        <w:rStyle w:val="699"/>
      </w:rPr>
      <w:fldChar w:fldCharType="end"/>
    </w:r>
    <w:r>
      <w:rPr>
        <w:rStyle w:val="699"/>
      </w:rPr>
    </w:r>
  </w:p>
  <w:p>
    <w:pPr>
      <w:pStyle w:val="78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">
    <w:name w:val="Heading 6"/>
    <w:basedOn w:val="697"/>
    <w:next w:val="69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7"/>
    <w:next w:val="69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7"/>
    <w:next w:val="69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7"/>
    <w:next w:val="69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25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5"/>
    <w:link w:val="7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5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5"/>
    <w:link w:val="7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5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5"/>
    <w:link w:val="7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5"/>
    <w:link w:val="7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7"/>
    <w:next w:val="69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7"/>
    <w:next w:val="69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5"/>
    <w:link w:val="785"/>
    <w:uiPriority w:val="99"/>
    <w:pPr>
      <w:pBdr/>
      <w:spacing/>
      <w:ind/>
    </w:pPr>
  </w:style>
  <w:style w:type="character" w:styleId="178">
    <w:name w:val="Footer Char"/>
    <w:basedOn w:val="725"/>
    <w:link w:val="775"/>
    <w:uiPriority w:val="99"/>
    <w:pPr>
      <w:pBdr/>
      <w:spacing/>
      <w:ind/>
    </w:pPr>
  </w:style>
  <w:style w:type="paragraph" w:styleId="179">
    <w:name w:val="Caption"/>
    <w:basedOn w:val="697"/>
    <w:next w:val="6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7"/>
    <w:next w:val="697"/>
    <w:uiPriority w:val="99"/>
    <w:unhideWhenUsed/>
    <w:pPr>
      <w:pBdr/>
      <w:spacing w:after="0" w:afterAutospacing="0"/>
      <w:ind/>
    </w:pPr>
  </w:style>
  <w:style w:type="paragraph" w:styleId="696">
    <w:name w:val="Normal"/>
    <w:link w:val="697"/>
    <w:uiPriority w:val="0"/>
    <w:qFormat/>
    <w:pPr>
      <w:pBdr/>
      <w:spacing/>
      <w:ind/>
    </w:pPr>
    <w:rPr>
      <w:sz w:val="28"/>
    </w:rPr>
  </w:style>
  <w:style w:type="character" w:styleId="697">
    <w:name w:val="Normal"/>
    <w:link w:val="696"/>
    <w:pPr>
      <w:pBdr/>
      <w:spacing/>
      <w:ind/>
    </w:pPr>
    <w:rPr>
      <w:sz w:val="28"/>
    </w:rPr>
  </w:style>
  <w:style w:type="paragraph" w:styleId="698">
    <w:name w:val="page number"/>
    <w:basedOn w:val="724"/>
    <w:link w:val="699"/>
    <w:pPr>
      <w:pBdr/>
      <w:spacing/>
      <w:ind/>
    </w:pPr>
  </w:style>
  <w:style w:type="character" w:styleId="699">
    <w:name w:val="page number"/>
    <w:basedOn w:val="725"/>
    <w:link w:val="698"/>
    <w:pPr>
      <w:pBdr/>
      <w:spacing/>
      <w:ind/>
    </w:pPr>
  </w:style>
  <w:style w:type="paragraph" w:styleId="700">
    <w:name w:val="toc 2"/>
    <w:next w:val="696"/>
    <w:link w:val="701"/>
    <w:uiPriority w:val="39"/>
    <w:pPr>
      <w:pBdr/>
      <w:spacing/>
      <w:ind w:firstLine="0" w:left="200"/>
      <w:jc w:val="left"/>
    </w:pPr>
    <w:rPr>
      <w:rFonts w:ascii="XO Thames" w:hAnsi="XO Thames"/>
      <w:sz w:val="28"/>
    </w:rPr>
  </w:style>
  <w:style w:type="character" w:styleId="701">
    <w:name w:val="toc 2"/>
    <w:link w:val="700"/>
    <w:pPr>
      <w:pBdr/>
      <w:spacing/>
      <w:ind/>
    </w:pPr>
    <w:rPr>
      <w:rFonts w:ascii="XO Thames" w:hAnsi="XO Thames"/>
      <w:sz w:val="28"/>
    </w:rPr>
  </w:style>
  <w:style w:type="paragraph" w:styleId="702">
    <w:name w:val="post-views-count"/>
    <w:basedOn w:val="724"/>
    <w:link w:val="703"/>
    <w:pPr>
      <w:pBdr/>
      <w:spacing/>
      <w:ind/>
    </w:pPr>
  </w:style>
  <w:style w:type="character" w:styleId="703">
    <w:name w:val="post-views-count"/>
    <w:basedOn w:val="725"/>
    <w:link w:val="702"/>
    <w:pPr>
      <w:pBdr/>
      <w:spacing/>
      <w:ind/>
    </w:pPr>
  </w:style>
  <w:style w:type="paragraph" w:styleId="704">
    <w:name w:val="fio23"/>
    <w:link w:val="705"/>
    <w:pPr>
      <w:pBdr/>
      <w:spacing/>
      <w:ind/>
    </w:pPr>
  </w:style>
  <w:style w:type="character" w:styleId="705">
    <w:name w:val="fio23"/>
    <w:link w:val="704"/>
    <w:pPr>
      <w:pBdr/>
      <w:spacing/>
      <w:ind/>
    </w:pPr>
  </w:style>
  <w:style w:type="paragraph" w:styleId="706">
    <w:name w:val="toc 4"/>
    <w:next w:val="696"/>
    <w:link w:val="707"/>
    <w:uiPriority w:val="39"/>
    <w:pPr>
      <w:pBdr/>
      <w:spacing/>
      <w:ind w:firstLine="0" w:left="600"/>
      <w:jc w:val="left"/>
    </w:pPr>
    <w:rPr>
      <w:rFonts w:ascii="XO Thames" w:hAnsi="XO Thames"/>
      <w:sz w:val="28"/>
    </w:rPr>
  </w:style>
  <w:style w:type="character" w:styleId="707">
    <w:name w:val="toc 4"/>
    <w:link w:val="706"/>
    <w:pPr>
      <w:pBdr/>
      <w:spacing/>
      <w:ind/>
    </w:pPr>
    <w:rPr>
      <w:rFonts w:ascii="XO Thames" w:hAnsi="XO Thames"/>
      <w:sz w:val="28"/>
    </w:rPr>
  </w:style>
  <w:style w:type="paragraph" w:styleId="708">
    <w:name w:val="fio11"/>
    <w:link w:val="709"/>
    <w:pPr>
      <w:pBdr/>
      <w:spacing/>
      <w:ind/>
    </w:pPr>
  </w:style>
  <w:style w:type="character" w:styleId="709">
    <w:name w:val="fio11"/>
    <w:link w:val="708"/>
    <w:pPr>
      <w:pBdr/>
      <w:spacing/>
      <w:ind/>
    </w:pPr>
  </w:style>
  <w:style w:type="paragraph" w:styleId="710">
    <w:name w:val="toc 6"/>
    <w:next w:val="696"/>
    <w:link w:val="711"/>
    <w:uiPriority w:val="39"/>
    <w:pPr>
      <w:pBdr/>
      <w:spacing/>
      <w:ind w:firstLine="0" w:left="1000"/>
      <w:jc w:val="left"/>
    </w:pPr>
    <w:rPr>
      <w:rFonts w:ascii="XO Thames" w:hAnsi="XO Thames"/>
      <w:sz w:val="28"/>
    </w:rPr>
  </w:style>
  <w:style w:type="character" w:styleId="711">
    <w:name w:val="toc 6"/>
    <w:link w:val="710"/>
    <w:pPr>
      <w:pBdr/>
      <w:spacing/>
      <w:ind/>
    </w:pPr>
    <w:rPr>
      <w:rFonts w:ascii="XO Thames" w:hAnsi="XO Thames"/>
      <w:sz w:val="28"/>
    </w:rPr>
  </w:style>
  <w:style w:type="paragraph" w:styleId="712">
    <w:name w:val="toc 7"/>
    <w:next w:val="696"/>
    <w:link w:val="713"/>
    <w:uiPriority w:val="39"/>
    <w:pPr>
      <w:pBdr/>
      <w:spacing/>
      <w:ind w:firstLine="0" w:left="1200"/>
      <w:jc w:val="left"/>
    </w:pPr>
    <w:rPr>
      <w:rFonts w:ascii="XO Thames" w:hAnsi="XO Thames"/>
      <w:sz w:val="28"/>
    </w:rPr>
  </w:style>
  <w:style w:type="character" w:styleId="713">
    <w:name w:val="toc 7"/>
    <w:link w:val="712"/>
    <w:pPr>
      <w:pBdr/>
      <w:spacing/>
      <w:ind/>
    </w:pPr>
    <w:rPr>
      <w:rFonts w:ascii="XO Thames" w:hAnsi="XO Thames"/>
      <w:sz w:val="28"/>
    </w:rPr>
  </w:style>
  <w:style w:type="paragraph" w:styleId="714">
    <w:name w:val="fio9"/>
    <w:link w:val="715"/>
    <w:pPr>
      <w:pBdr/>
      <w:spacing/>
      <w:ind/>
    </w:pPr>
  </w:style>
  <w:style w:type="character" w:styleId="715">
    <w:name w:val="fio9"/>
    <w:link w:val="714"/>
    <w:pPr>
      <w:pBdr/>
      <w:spacing/>
      <w:ind/>
    </w:pPr>
  </w:style>
  <w:style w:type="paragraph" w:styleId="716">
    <w:name w:val="Endnote"/>
    <w:link w:val="717"/>
    <w:pPr>
      <w:pBdr/>
      <w:spacing/>
      <w:ind w:firstLine="851" w:left="0"/>
      <w:jc w:val="both"/>
    </w:pPr>
    <w:rPr>
      <w:rFonts w:ascii="XO Thames" w:hAnsi="XO Thames"/>
      <w:sz w:val="22"/>
    </w:rPr>
  </w:style>
  <w:style w:type="character" w:styleId="717">
    <w:name w:val="Endnote"/>
    <w:link w:val="716"/>
    <w:pPr>
      <w:pBdr/>
      <w:spacing/>
      <w:ind/>
    </w:pPr>
    <w:rPr>
      <w:rFonts w:ascii="XO Thames" w:hAnsi="XO Thames"/>
      <w:sz w:val="22"/>
    </w:rPr>
  </w:style>
  <w:style w:type="paragraph" w:styleId="718">
    <w:name w:val="Heading 3"/>
    <w:basedOn w:val="696"/>
    <w:next w:val="696"/>
    <w:link w:val="719"/>
    <w:uiPriority w:val="9"/>
    <w:qFormat/>
    <w:pPr>
      <w:keepNext w:val="true"/>
      <w:keepLines w:val="true"/>
      <w:pBdr/>
      <w:spacing w:before="40"/>
      <w:ind/>
      <w:outlineLvl w:val="2"/>
    </w:pPr>
    <w:rPr>
      <w:rFonts w:asciiTheme="majorAscii" w:hAnsiTheme="majorHAnsi"/>
      <w:color w:val="244061" w:themeColor="accent1" w:themeShade="7F"/>
      <w:sz w:val="24"/>
    </w:rPr>
  </w:style>
  <w:style w:type="character" w:styleId="719">
    <w:name w:val="Heading 3"/>
    <w:basedOn w:val="697"/>
    <w:link w:val="718"/>
    <w:pPr>
      <w:pBdr/>
      <w:spacing/>
      <w:ind/>
    </w:pPr>
    <w:rPr>
      <w:rFonts w:asciiTheme="majorAscii" w:hAnsiTheme="majorHAnsi"/>
      <w:color w:val="244061" w:themeColor="accent1" w:themeShade="7F"/>
      <w:sz w:val="24"/>
    </w:rPr>
  </w:style>
  <w:style w:type="paragraph" w:styleId="720">
    <w:name w:val="posted-on"/>
    <w:basedOn w:val="724"/>
    <w:link w:val="721"/>
    <w:pPr>
      <w:pBdr/>
      <w:spacing/>
      <w:ind/>
    </w:pPr>
  </w:style>
  <w:style w:type="character" w:styleId="721">
    <w:name w:val="posted-on"/>
    <w:basedOn w:val="725"/>
    <w:link w:val="720"/>
    <w:pPr>
      <w:pBdr/>
      <w:spacing/>
      <w:ind/>
    </w:pPr>
  </w:style>
  <w:style w:type="paragraph" w:styleId="722">
    <w:name w:val="Strong"/>
    <w:link w:val="723"/>
    <w:pPr>
      <w:pBdr/>
      <w:spacing/>
      <w:ind/>
    </w:pPr>
    <w:rPr>
      <w:b/>
    </w:rPr>
  </w:style>
  <w:style w:type="character" w:styleId="723">
    <w:name w:val="Strong"/>
    <w:link w:val="722"/>
    <w:pPr>
      <w:pBdr/>
      <w:spacing/>
      <w:ind/>
    </w:pPr>
    <w:rPr>
      <w:b/>
    </w:rPr>
  </w:style>
  <w:style w:type="paragraph" w:styleId="724">
    <w:name w:val="Default Paragraph Font"/>
    <w:link w:val="725"/>
    <w:pPr>
      <w:pBdr/>
      <w:spacing/>
      <w:ind/>
    </w:pPr>
  </w:style>
  <w:style w:type="character" w:styleId="725">
    <w:name w:val="Default Paragraph Font"/>
    <w:link w:val="724"/>
    <w:pPr>
      <w:pBdr/>
      <w:spacing/>
      <w:ind/>
    </w:pPr>
  </w:style>
  <w:style w:type="paragraph" w:styleId="726">
    <w:name w:val="fio20"/>
    <w:link w:val="727"/>
    <w:pPr>
      <w:pBdr/>
      <w:spacing/>
      <w:ind/>
    </w:pPr>
  </w:style>
  <w:style w:type="character" w:styleId="727">
    <w:name w:val="fio20"/>
    <w:link w:val="726"/>
    <w:pPr>
      <w:pBdr/>
      <w:spacing/>
      <w:ind/>
    </w:pPr>
  </w:style>
  <w:style w:type="paragraph" w:styleId="728">
    <w:name w:val="toc 3"/>
    <w:next w:val="696"/>
    <w:link w:val="729"/>
    <w:uiPriority w:val="39"/>
    <w:pPr>
      <w:pBdr/>
      <w:spacing/>
      <w:ind w:firstLine="0" w:left="400"/>
      <w:jc w:val="left"/>
    </w:pPr>
    <w:rPr>
      <w:rFonts w:ascii="XO Thames" w:hAnsi="XO Thames"/>
      <w:sz w:val="28"/>
    </w:rPr>
  </w:style>
  <w:style w:type="character" w:styleId="729">
    <w:name w:val="toc 3"/>
    <w:link w:val="728"/>
    <w:pPr>
      <w:pBdr/>
      <w:spacing/>
      <w:ind/>
    </w:pPr>
    <w:rPr>
      <w:rFonts w:ascii="XO Thames" w:hAnsi="XO Thames"/>
      <w:sz w:val="28"/>
    </w:rPr>
  </w:style>
  <w:style w:type="paragraph" w:styleId="730">
    <w:name w:val="Emphasis"/>
    <w:link w:val="731"/>
    <w:pPr>
      <w:pBdr/>
      <w:spacing/>
      <w:ind/>
    </w:pPr>
    <w:rPr>
      <w:i/>
    </w:rPr>
  </w:style>
  <w:style w:type="character" w:styleId="731">
    <w:name w:val="Emphasis"/>
    <w:link w:val="730"/>
    <w:pPr>
      <w:pBdr/>
      <w:spacing/>
      <w:ind/>
    </w:pPr>
    <w:rPr>
      <w:i/>
    </w:rPr>
  </w:style>
  <w:style w:type="paragraph" w:styleId="732">
    <w:name w:val="Дата1"/>
    <w:basedOn w:val="696"/>
    <w:link w:val="733"/>
    <w:pPr>
      <w:pBdr/>
      <w:spacing w:afterAutospacing="1" w:beforeAutospacing="1"/>
      <w:ind/>
    </w:pPr>
    <w:rPr>
      <w:sz w:val="24"/>
    </w:rPr>
  </w:style>
  <w:style w:type="character" w:styleId="733">
    <w:name w:val="Дата1"/>
    <w:basedOn w:val="697"/>
    <w:link w:val="732"/>
    <w:pPr>
      <w:pBdr/>
      <w:spacing/>
      <w:ind/>
    </w:pPr>
    <w:rPr>
      <w:sz w:val="24"/>
    </w:rPr>
  </w:style>
  <w:style w:type="paragraph" w:styleId="734">
    <w:name w:val="Заголовок1"/>
    <w:link w:val="735"/>
    <w:pPr>
      <w:pBdr/>
      <w:spacing/>
      <w:ind/>
    </w:pPr>
  </w:style>
  <w:style w:type="character" w:styleId="735">
    <w:name w:val="Заголовок1"/>
    <w:link w:val="734"/>
    <w:pPr>
      <w:pBdr/>
      <w:spacing/>
      <w:ind/>
    </w:pPr>
  </w:style>
  <w:style w:type="paragraph" w:styleId="736">
    <w:name w:val="nomer2"/>
    <w:link w:val="737"/>
    <w:pPr>
      <w:pBdr/>
      <w:spacing/>
      <w:ind/>
    </w:pPr>
  </w:style>
  <w:style w:type="character" w:styleId="737">
    <w:name w:val="nomer2"/>
    <w:link w:val="736"/>
    <w:pPr>
      <w:pBdr/>
      <w:spacing/>
      <w:ind/>
    </w:pPr>
  </w:style>
  <w:style w:type="paragraph" w:styleId="738">
    <w:name w:val="ConsPlusNormal"/>
    <w:link w:val="739"/>
    <w:pPr>
      <w:pBdr/>
      <w:spacing/>
      <w:ind/>
    </w:pPr>
    <w:rPr>
      <w:rFonts w:ascii="Arial" w:hAnsi="Arial"/>
    </w:rPr>
  </w:style>
  <w:style w:type="character" w:styleId="739">
    <w:name w:val="ConsPlusNormal"/>
    <w:link w:val="738"/>
    <w:pPr>
      <w:pBdr/>
      <w:spacing/>
      <w:ind/>
    </w:pPr>
    <w:rPr>
      <w:rFonts w:ascii="Arial" w:hAnsi="Arial"/>
    </w:rPr>
  </w:style>
  <w:style w:type="paragraph" w:styleId="740">
    <w:name w:val="Heading 5"/>
    <w:next w:val="696"/>
    <w:link w:val="741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  <w:sz w:val="22"/>
    </w:rPr>
  </w:style>
  <w:style w:type="character" w:styleId="741">
    <w:name w:val="Heading 5"/>
    <w:link w:val="740"/>
    <w:pPr>
      <w:pBdr/>
      <w:spacing/>
      <w:ind/>
    </w:pPr>
    <w:rPr>
      <w:rFonts w:ascii="XO Thames" w:hAnsi="XO Thames"/>
      <w:b/>
      <w:sz w:val="22"/>
    </w:rPr>
  </w:style>
  <w:style w:type="paragraph" w:styleId="742">
    <w:name w:val="fio7"/>
    <w:link w:val="743"/>
    <w:pPr>
      <w:pBdr/>
      <w:spacing/>
      <w:ind/>
    </w:pPr>
  </w:style>
  <w:style w:type="character" w:styleId="743">
    <w:name w:val="fio7"/>
    <w:link w:val="742"/>
    <w:pPr>
      <w:pBdr/>
      <w:spacing/>
      <w:ind/>
    </w:pPr>
  </w:style>
  <w:style w:type="paragraph" w:styleId="744">
    <w:name w:val="Heading 1"/>
    <w:basedOn w:val="696"/>
    <w:next w:val="696"/>
    <w:link w:val="745"/>
    <w:uiPriority w:val="9"/>
    <w:qFormat/>
    <w:pPr>
      <w:keepNext w:val="true"/>
      <w:keepLines w:val="true"/>
      <w:pBdr/>
      <w:spacing w:before="240"/>
      <w:ind/>
      <w:outlineLvl w:val="0"/>
    </w:pPr>
    <w:rPr>
      <w:rFonts w:asciiTheme="majorAscii" w:hAnsiTheme="majorHAnsi"/>
      <w:color w:val="376092" w:themeColor="accent1" w:themeShade="BF"/>
      <w:sz w:val="32"/>
    </w:rPr>
  </w:style>
  <w:style w:type="character" w:styleId="745">
    <w:name w:val="Heading 1"/>
    <w:basedOn w:val="697"/>
    <w:link w:val="744"/>
    <w:pPr>
      <w:pBdr/>
      <w:spacing/>
      <w:ind/>
    </w:pPr>
    <w:rPr>
      <w:rFonts w:asciiTheme="majorAscii" w:hAnsiTheme="majorHAnsi"/>
      <w:color w:val="376092" w:themeColor="accent1" w:themeShade="BF"/>
      <w:sz w:val="32"/>
    </w:rPr>
  </w:style>
  <w:style w:type="paragraph" w:styleId="746">
    <w:name w:val="Hyperlink"/>
    <w:link w:val="747"/>
    <w:pPr>
      <w:pBdr/>
      <w:spacing/>
      <w:ind/>
    </w:pPr>
    <w:rPr>
      <w:color w:val="0000ff"/>
      <w:u w:val="single"/>
    </w:rPr>
  </w:style>
  <w:style w:type="character" w:styleId="747">
    <w:name w:val="Hyperlink"/>
    <w:link w:val="746"/>
    <w:pPr>
      <w:pBdr/>
      <w:spacing/>
      <w:ind/>
    </w:pPr>
    <w:rPr>
      <w:color w:val="0000ff"/>
      <w:u w:val="single"/>
    </w:rPr>
  </w:style>
  <w:style w:type="paragraph" w:styleId="748">
    <w:name w:val="Footnote"/>
    <w:link w:val="749"/>
    <w:pPr>
      <w:pBdr/>
      <w:spacing/>
      <w:ind w:firstLine="851" w:left="0"/>
      <w:jc w:val="both"/>
    </w:pPr>
    <w:rPr>
      <w:rFonts w:ascii="XO Thames" w:hAnsi="XO Thames"/>
      <w:sz w:val="22"/>
    </w:rPr>
  </w:style>
  <w:style w:type="character" w:styleId="749">
    <w:name w:val="Footnote"/>
    <w:link w:val="748"/>
    <w:pPr>
      <w:pBdr/>
      <w:spacing/>
      <w:ind/>
    </w:pPr>
    <w:rPr>
      <w:rFonts w:ascii="XO Thames" w:hAnsi="XO Thames"/>
      <w:sz w:val="22"/>
    </w:rPr>
  </w:style>
  <w:style w:type="paragraph" w:styleId="750">
    <w:name w:val="toc 1"/>
    <w:next w:val="696"/>
    <w:link w:val="751"/>
    <w:uiPriority w:val="39"/>
    <w:pPr>
      <w:pBdr/>
      <w:spacing/>
      <w:ind w:firstLine="0" w:left="0"/>
      <w:jc w:val="left"/>
    </w:pPr>
    <w:rPr>
      <w:rFonts w:ascii="XO Thames" w:hAnsi="XO Thames"/>
      <w:b/>
      <w:sz w:val="28"/>
    </w:rPr>
  </w:style>
  <w:style w:type="character" w:styleId="751">
    <w:name w:val="toc 1"/>
    <w:link w:val="750"/>
    <w:pPr>
      <w:pBdr/>
      <w:spacing/>
      <w:ind/>
    </w:pPr>
    <w:rPr>
      <w:rFonts w:ascii="XO Thames" w:hAnsi="XO Thames"/>
      <w:b/>
      <w:sz w:val="28"/>
    </w:rPr>
  </w:style>
  <w:style w:type="paragraph" w:styleId="752">
    <w:name w:val="fio4"/>
    <w:link w:val="753"/>
    <w:pPr>
      <w:pBdr/>
      <w:spacing/>
      <w:ind/>
    </w:pPr>
  </w:style>
  <w:style w:type="character" w:styleId="753">
    <w:name w:val="fio4"/>
    <w:link w:val="752"/>
    <w:pPr>
      <w:pBdr/>
      <w:spacing/>
      <w:ind/>
    </w:pPr>
  </w:style>
  <w:style w:type="paragraph" w:styleId="754">
    <w:name w:val="Header and Footer"/>
    <w:link w:val="755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5">
    <w:name w:val="Header and Footer"/>
    <w:link w:val="754"/>
    <w:pPr>
      <w:pBdr/>
      <w:spacing/>
      <w:ind/>
    </w:pPr>
    <w:rPr>
      <w:rFonts w:ascii="XO Thames" w:hAnsi="XO Thames"/>
      <w:sz w:val="28"/>
    </w:rPr>
  </w:style>
  <w:style w:type="paragraph" w:styleId="756">
    <w:name w:val="data2"/>
    <w:link w:val="757"/>
    <w:pPr>
      <w:pBdr/>
      <w:spacing/>
      <w:ind/>
    </w:pPr>
  </w:style>
  <w:style w:type="character" w:styleId="757">
    <w:name w:val="data2"/>
    <w:link w:val="756"/>
    <w:pPr>
      <w:pBdr/>
      <w:spacing/>
      <w:ind/>
    </w:pPr>
  </w:style>
  <w:style w:type="paragraph" w:styleId="758">
    <w:name w:val="toc 9"/>
    <w:next w:val="696"/>
    <w:link w:val="759"/>
    <w:uiPriority w:val="39"/>
    <w:pPr>
      <w:pBdr/>
      <w:spacing/>
      <w:ind w:firstLine="0" w:left="1600"/>
      <w:jc w:val="left"/>
    </w:pPr>
    <w:rPr>
      <w:rFonts w:ascii="XO Thames" w:hAnsi="XO Thames"/>
      <w:sz w:val="28"/>
    </w:rPr>
  </w:style>
  <w:style w:type="character" w:styleId="759">
    <w:name w:val="toc 9"/>
    <w:link w:val="758"/>
    <w:pPr>
      <w:pBdr/>
      <w:spacing/>
      <w:ind/>
    </w:pPr>
    <w:rPr>
      <w:rFonts w:ascii="XO Thames" w:hAnsi="XO Thames"/>
      <w:sz w:val="28"/>
    </w:rPr>
  </w:style>
  <w:style w:type="paragraph" w:styleId="760">
    <w:name w:val="green"/>
    <w:basedOn w:val="724"/>
    <w:link w:val="761"/>
    <w:pPr>
      <w:pBdr/>
      <w:spacing/>
      <w:ind/>
    </w:pPr>
  </w:style>
  <w:style w:type="character" w:styleId="761">
    <w:name w:val="green"/>
    <w:basedOn w:val="725"/>
    <w:link w:val="760"/>
    <w:pPr>
      <w:pBdr/>
      <w:spacing/>
      <w:ind/>
    </w:pPr>
  </w:style>
  <w:style w:type="paragraph" w:styleId="762">
    <w:name w:val="fio10"/>
    <w:link w:val="763"/>
    <w:pPr>
      <w:pBdr/>
      <w:spacing/>
      <w:ind/>
    </w:pPr>
  </w:style>
  <w:style w:type="character" w:styleId="763">
    <w:name w:val="fio10"/>
    <w:link w:val="762"/>
    <w:pPr>
      <w:pBdr/>
      <w:spacing/>
      <w:ind/>
    </w:pPr>
  </w:style>
  <w:style w:type="paragraph" w:styleId="764">
    <w:name w:val="toc 8"/>
    <w:next w:val="696"/>
    <w:link w:val="765"/>
    <w:uiPriority w:val="39"/>
    <w:pPr>
      <w:pBdr/>
      <w:spacing/>
      <w:ind w:firstLine="0" w:left="1400"/>
      <w:jc w:val="left"/>
    </w:pPr>
    <w:rPr>
      <w:rFonts w:ascii="XO Thames" w:hAnsi="XO Thames"/>
      <w:sz w:val="28"/>
    </w:rPr>
  </w:style>
  <w:style w:type="character" w:styleId="765">
    <w:name w:val="toc 8"/>
    <w:link w:val="764"/>
    <w:pPr>
      <w:pBdr/>
      <w:spacing/>
      <w:ind/>
    </w:pPr>
    <w:rPr>
      <w:rFonts w:ascii="XO Thames" w:hAnsi="XO Thames"/>
      <w:sz w:val="28"/>
    </w:rPr>
  </w:style>
  <w:style w:type="paragraph" w:styleId="766">
    <w:name w:val="List Paragraph"/>
    <w:basedOn w:val="696"/>
    <w:link w:val="767"/>
    <w:pPr>
      <w:pBdr/>
      <w:spacing/>
      <w:ind w:firstLine="0" w:left="720"/>
      <w:contextualSpacing w:val="true"/>
    </w:pPr>
  </w:style>
  <w:style w:type="character" w:styleId="767">
    <w:name w:val="List Paragraph"/>
    <w:basedOn w:val="697"/>
    <w:link w:val="766"/>
    <w:pPr>
      <w:pBdr/>
      <w:spacing/>
      <w:ind/>
    </w:pPr>
  </w:style>
  <w:style w:type="paragraph" w:styleId="768">
    <w:name w:val="Normal (Web)"/>
    <w:basedOn w:val="696"/>
    <w:link w:val="769"/>
    <w:pPr>
      <w:pBdr/>
      <w:spacing w:afterAutospacing="1" w:beforeAutospacing="1"/>
      <w:ind/>
    </w:pPr>
    <w:rPr>
      <w:sz w:val="24"/>
    </w:rPr>
  </w:style>
  <w:style w:type="character" w:styleId="769">
    <w:name w:val="Normal (Web)"/>
    <w:basedOn w:val="697"/>
    <w:link w:val="768"/>
    <w:pPr>
      <w:pBdr/>
      <w:spacing/>
      <w:ind/>
    </w:pPr>
    <w:rPr>
      <w:sz w:val="24"/>
    </w:rPr>
  </w:style>
  <w:style w:type="paragraph" w:styleId="770">
    <w:name w:val="toc 5"/>
    <w:next w:val="696"/>
    <w:link w:val="771"/>
    <w:uiPriority w:val="39"/>
    <w:pPr>
      <w:pBdr/>
      <w:spacing/>
      <w:ind w:firstLine="0" w:left="800"/>
      <w:jc w:val="left"/>
    </w:pPr>
    <w:rPr>
      <w:rFonts w:ascii="XO Thames" w:hAnsi="XO Thames"/>
      <w:sz w:val="28"/>
    </w:rPr>
  </w:style>
  <w:style w:type="character" w:styleId="771">
    <w:name w:val="toc 5"/>
    <w:link w:val="770"/>
    <w:pPr>
      <w:pBdr/>
      <w:spacing/>
      <w:ind/>
    </w:pPr>
    <w:rPr>
      <w:rFonts w:ascii="XO Thames" w:hAnsi="XO Thames"/>
      <w:sz w:val="28"/>
    </w:rPr>
  </w:style>
  <w:style w:type="paragraph" w:styleId="772">
    <w:name w:val="fio21"/>
    <w:link w:val="773"/>
    <w:pPr>
      <w:pBdr/>
      <w:spacing/>
      <w:ind/>
    </w:pPr>
  </w:style>
  <w:style w:type="character" w:styleId="773">
    <w:name w:val="fio21"/>
    <w:link w:val="772"/>
    <w:pPr>
      <w:pBdr/>
      <w:spacing/>
      <w:ind/>
    </w:pPr>
  </w:style>
  <w:style w:type="paragraph" w:styleId="774">
    <w:name w:val="Footer"/>
    <w:basedOn w:val="696"/>
    <w:link w:val="77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75">
    <w:name w:val="Footer"/>
    <w:basedOn w:val="697"/>
    <w:link w:val="774"/>
    <w:pPr>
      <w:pBdr/>
      <w:spacing/>
      <w:ind/>
    </w:pPr>
  </w:style>
  <w:style w:type="paragraph" w:styleId="776">
    <w:name w:val="Subtitle"/>
    <w:next w:val="696"/>
    <w:link w:val="777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character" w:styleId="777">
    <w:name w:val="Subtitle"/>
    <w:link w:val="776"/>
    <w:pPr>
      <w:pBdr/>
      <w:spacing/>
      <w:ind/>
    </w:pPr>
    <w:rPr>
      <w:rFonts w:ascii="XO Thames" w:hAnsi="XO Thames"/>
      <w:i/>
      <w:sz w:val="24"/>
    </w:rPr>
  </w:style>
  <w:style w:type="paragraph" w:styleId="778">
    <w:name w:val="fio8"/>
    <w:link w:val="779"/>
    <w:pPr>
      <w:pBdr/>
      <w:spacing/>
      <w:ind/>
    </w:pPr>
  </w:style>
  <w:style w:type="character" w:styleId="779">
    <w:name w:val="fio8"/>
    <w:link w:val="778"/>
    <w:pPr>
      <w:pBdr/>
      <w:spacing/>
      <w:ind/>
    </w:pPr>
  </w:style>
  <w:style w:type="paragraph" w:styleId="780">
    <w:name w:val="Title"/>
    <w:next w:val="696"/>
    <w:link w:val="781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character" w:styleId="781">
    <w:name w:val="Title"/>
    <w:link w:val="780"/>
    <w:pPr>
      <w:pBdr/>
      <w:spacing/>
      <w:ind/>
    </w:pPr>
    <w:rPr>
      <w:rFonts w:ascii="XO Thames" w:hAnsi="XO Thames"/>
      <w:b/>
      <w:caps/>
      <w:sz w:val="40"/>
    </w:rPr>
  </w:style>
  <w:style w:type="paragraph" w:styleId="782">
    <w:name w:val="Heading 4"/>
    <w:next w:val="696"/>
    <w:link w:val="783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character" w:styleId="783">
    <w:name w:val="Heading 4"/>
    <w:link w:val="782"/>
    <w:pPr>
      <w:pBdr/>
      <w:spacing/>
      <w:ind/>
    </w:pPr>
    <w:rPr>
      <w:rFonts w:ascii="XO Thames" w:hAnsi="XO Thames"/>
      <w:b/>
      <w:sz w:val="24"/>
    </w:rPr>
  </w:style>
  <w:style w:type="paragraph" w:styleId="784">
    <w:name w:val="Header"/>
    <w:basedOn w:val="696"/>
    <w:link w:val="78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85">
    <w:name w:val="Header"/>
    <w:basedOn w:val="697"/>
    <w:link w:val="784"/>
    <w:pPr>
      <w:pBdr/>
      <w:spacing/>
      <w:ind/>
    </w:pPr>
  </w:style>
  <w:style w:type="paragraph" w:styleId="786">
    <w:name w:val="Balloon Text"/>
    <w:basedOn w:val="696"/>
    <w:link w:val="787"/>
    <w:pPr>
      <w:pBdr/>
      <w:spacing/>
      <w:ind/>
    </w:pPr>
    <w:rPr>
      <w:rFonts w:ascii="Segoe UI" w:hAnsi="Segoe UI"/>
      <w:sz w:val="18"/>
    </w:rPr>
  </w:style>
  <w:style w:type="character" w:styleId="787">
    <w:name w:val="Balloon Text"/>
    <w:basedOn w:val="697"/>
    <w:link w:val="786"/>
    <w:pPr>
      <w:pBdr/>
      <w:spacing/>
      <w:ind/>
    </w:pPr>
    <w:rPr>
      <w:rFonts w:ascii="Segoe UI" w:hAnsi="Segoe UI"/>
      <w:sz w:val="18"/>
    </w:rPr>
  </w:style>
  <w:style w:type="paragraph" w:styleId="788">
    <w:name w:val="Heading 2"/>
    <w:basedOn w:val="696"/>
    <w:link w:val="789"/>
    <w:uiPriority w:val="9"/>
    <w:qFormat/>
    <w:pPr>
      <w:pBdr/>
      <w:spacing w:afterAutospacing="1" w:beforeAutospacing="1"/>
      <w:ind/>
      <w:outlineLvl w:val="1"/>
    </w:pPr>
    <w:rPr>
      <w:b/>
      <w:sz w:val="36"/>
    </w:rPr>
  </w:style>
  <w:style w:type="character" w:styleId="789">
    <w:name w:val="Heading 2"/>
    <w:basedOn w:val="697"/>
    <w:link w:val="788"/>
    <w:pPr>
      <w:pBdr/>
      <w:spacing/>
      <w:ind/>
    </w:pPr>
    <w:rPr>
      <w:b/>
      <w:sz w:val="36"/>
    </w:rPr>
  </w:style>
  <w:style w:type="table" w:styleId="790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2025-12-20T13:57:22Z</dcterms:modified>
</cp:coreProperties>
</file>