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13" w:rsidRDefault="00BA0A13" w:rsidP="00252E55">
      <w:pPr>
        <w:jc w:val="both"/>
        <w:rPr>
          <w:b/>
        </w:rPr>
      </w:pPr>
    </w:p>
    <w:p w:rsidR="00BD722A" w:rsidRDefault="001B27CB" w:rsidP="00BD722A">
      <w:pPr>
        <w:pStyle w:val="a9"/>
      </w:pPr>
      <w:r>
        <w:rPr>
          <w:noProof/>
        </w:rPr>
        <w:drawing>
          <wp:inline distT="0" distB="0" distL="0" distR="0">
            <wp:extent cx="378460" cy="464820"/>
            <wp:effectExtent l="19050" t="0" r="254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378460" cy="464820"/>
                    </a:xfrm>
                    <a:prstGeom prst="rect">
                      <a:avLst/>
                    </a:prstGeom>
                    <a:noFill/>
                    <a:ln w="9525">
                      <a:noFill/>
                      <a:miter lim="800000"/>
                      <a:headEnd/>
                      <a:tailEnd/>
                    </a:ln>
                  </pic:spPr>
                </pic:pic>
              </a:graphicData>
            </a:graphic>
          </wp:inline>
        </w:drawing>
      </w:r>
    </w:p>
    <w:p w:rsidR="00BD722A" w:rsidRDefault="00BD722A" w:rsidP="00BD722A">
      <w:pPr>
        <w:jc w:val="both"/>
        <w:rPr>
          <w:b/>
        </w:rPr>
      </w:pPr>
    </w:p>
    <w:p w:rsidR="00BD722A" w:rsidRDefault="00BD722A" w:rsidP="00BD722A">
      <w:pPr>
        <w:jc w:val="center"/>
        <w:rPr>
          <w:b/>
        </w:rPr>
      </w:pPr>
      <w:r>
        <w:rPr>
          <w:b/>
        </w:rPr>
        <w:t>АДМИНИСТРАЦИЯ  ГОРОДА  КИРЖАЧ</w:t>
      </w:r>
    </w:p>
    <w:p w:rsidR="00BD722A" w:rsidRDefault="00BD722A" w:rsidP="00BD722A">
      <w:pPr>
        <w:jc w:val="center"/>
        <w:rPr>
          <w:b/>
        </w:rPr>
      </w:pPr>
      <w:r>
        <w:rPr>
          <w:b/>
        </w:rPr>
        <w:t>КИРЖАЧСКОГО РАЙОНА</w:t>
      </w:r>
    </w:p>
    <w:p w:rsidR="00BD722A" w:rsidRDefault="00BD722A" w:rsidP="00BD722A">
      <w:pPr>
        <w:jc w:val="center"/>
        <w:rPr>
          <w:b/>
          <w:sz w:val="32"/>
          <w:szCs w:val="32"/>
        </w:rPr>
      </w:pPr>
    </w:p>
    <w:p w:rsidR="00BD722A" w:rsidRDefault="00BD722A" w:rsidP="00BD722A">
      <w:pPr>
        <w:jc w:val="center"/>
        <w:rPr>
          <w:b/>
          <w:sz w:val="32"/>
          <w:szCs w:val="32"/>
        </w:rPr>
      </w:pPr>
      <w:proofErr w:type="gramStart"/>
      <w:r>
        <w:rPr>
          <w:b/>
          <w:sz w:val="32"/>
          <w:szCs w:val="32"/>
        </w:rPr>
        <w:t>П</w:t>
      </w:r>
      <w:proofErr w:type="gramEnd"/>
      <w:r>
        <w:rPr>
          <w:b/>
          <w:sz w:val="32"/>
          <w:szCs w:val="32"/>
        </w:rPr>
        <w:t xml:space="preserve"> О С Т А Н О В Л Е Н И Е</w:t>
      </w:r>
    </w:p>
    <w:p w:rsidR="00BD722A" w:rsidRDefault="00BD722A" w:rsidP="00BD722A">
      <w:pPr>
        <w:jc w:val="both"/>
        <w:rPr>
          <w:b/>
        </w:rPr>
      </w:pPr>
    </w:p>
    <w:p w:rsidR="00BD722A" w:rsidRDefault="00BD722A" w:rsidP="00BD722A">
      <w:pPr>
        <w:jc w:val="both"/>
        <w:rPr>
          <w:b/>
        </w:rPr>
      </w:pPr>
    </w:p>
    <w:p w:rsidR="00BD722A" w:rsidRDefault="00BD722A" w:rsidP="00BD722A">
      <w:pPr>
        <w:jc w:val="both"/>
      </w:pPr>
    </w:p>
    <w:p w:rsidR="00BD722A" w:rsidRDefault="00FD411C" w:rsidP="00BD722A">
      <w:pPr>
        <w:jc w:val="both"/>
      </w:pPr>
      <w:r>
        <w:rPr>
          <w:sz w:val="28"/>
          <w:szCs w:val="28"/>
        </w:rPr>
        <w:t xml:space="preserve">         </w:t>
      </w:r>
      <w:r w:rsidR="00614CAA">
        <w:rPr>
          <w:sz w:val="28"/>
          <w:szCs w:val="28"/>
          <w:u w:val="single"/>
        </w:rPr>
        <w:t>30.09</w:t>
      </w:r>
      <w:r w:rsidR="00DC3325">
        <w:rPr>
          <w:sz w:val="28"/>
          <w:szCs w:val="28"/>
          <w:u w:val="single"/>
        </w:rPr>
        <w:t>.2020</w:t>
      </w:r>
      <w:r w:rsidR="00BD722A">
        <w:rPr>
          <w:sz w:val="28"/>
          <w:szCs w:val="28"/>
        </w:rPr>
        <w:t xml:space="preserve">                                                             </w:t>
      </w:r>
      <w:r w:rsidR="00DC3325">
        <w:rPr>
          <w:sz w:val="28"/>
          <w:szCs w:val="28"/>
        </w:rPr>
        <w:t xml:space="preserve">           </w:t>
      </w:r>
      <w:r w:rsidR="00BD722A">
        <w:rPr>
          <w:sz w:val="28"/>
          <w:szCs w:val="28"/>
        </w:rPr>
        <w:t xml:space="preserve">   </w:t>
      </w:r>
      <w:r w:rsidR="00BD722A" w:rsidRPr="00FD411C">
        <w:rPr>
          <w:sz w:val="28"/>
          <w:szCs w:val="28"/>
          <w:u w:val="single"/>
        </w:rPr>
        <w:t xml:space="preserve">№ </w:t>
      </w:r>
      <w:r w:rsidR="00DC3325">
        <w:rPr>
          <w:sz w:val="28"/>
          <w:szCs w:val="28"/>
          <w:u w:val="single"/>
        </w:rPr>
        <w:t>675</w:t>
      </w:r>
    </w:p>
    <w:p w:rsidR="00BD722A" w:rsidRDefault="00BD722A" w:rsidP="00BD722A">
      <w:pPr>
        <w:jc w:val="both"/>
      </w:pPr>
    </w:p>
    <w:p w:rsidR="00BD722A" w:rsidRDefault="00BD722A" w:rsidP="00BD722A">
      <w:pPr>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9"/>
      </w:tblGrid>
      <w:tr w:rsidR="00BD722A" w:rsidTr="00BD722A">
        <w:trPr>
          <w:trHeight w:val="17"/>
        </w:trPr>
        <w:tc>
          <w:tcPr>
            <w:tcW w:w="5489" w:type="dxa"/>
            <w:tcBorders>
              <w:top w:val="nil"/>
              <w:left w:val="nil"/>
              <w:bottom w:val="nil"/>
              <w:right w:val="nil"/>
            </w:tcBorders>
          </w:tcPr>
          <w:p w:rsidR="00BD722A" w:rsidRDefault="00BD722A">
            <w:pPr>
              <w:spacing w:line="276" w:lineRule="auto"/>
              <w:jc w:val="both"/>
              <w:rPr>
                <w:i/>
                <w:iCs/>
                <w:sz w:val="28"/>
                <w:szCs w:val="28"/>
              </w:rPr>
            </w:pPr>
            <w:r>
              <w:rPr>
                <w:i/>
                <w:iCs/>
                <w:sz w:val="28"/>
                <w:szCs w:val="28"/>
              </w:rPr>
              <w:t>Об утверждении исходных данных для составления проекта бюджета  муниципального образования город  Кир</w:t>
            </w:r>
            <w:r w:rsidR="00DC3325">
              <w:rPr>
                <w:i/>
                <w:iCs/>
                <w:sz w:val="28"/>
                <w:szCs w:val="28"/>
              </w:rPr>
              <w:t xml:space="preserve">жач  </w:t>
            </w:r>
            <w:proofErr w:type="spellStart"/>
            <w:r w:rsidR="00DC3325">
              <w:rPr>
                <w:i/>
                <w:iCs/>
                <w:sz w:val="28"/>
                <w:szCs w:val="28"/>
              </w:rPr>
              <w:t>Киржачского</w:t>
            </w:r>
            <w:proofErr w:type="spellEnd"/>
            <w:r w:rsidR="00DC3325">
              <w:rPr>
                <w:i/>
                <w:iCs/>
                <w:sz w:val="28"/>
                <w:szCs w:val="28"/>
              </w:rPr>
              <w:t xml:space="preserve"> района  на 2021 год и на плановый период 2022 и 2023</w:t>
            </w:r>
            <w:r>
              <w:rPr>
                <w:i/>
                <w:iCs/>
                <w:sz w:val="28"/>
                <w:szCs w:val="28"/>
              </w:rPr>
              <w:t xml:space="preserve"> годов</w:t>
            </w:r>
          </w:p>
          <w:p w:rsidR="00BD722A" w:rsidRDefault="00BD722A">
            <w:pPr>
              <w:spacing w:line="276" w:lineRule="auto"/>
              <w:jc w:val="both"/>
              <w:rPr>
                <w:i/>
                <w:sz w:val="28"/>
                <w:szCs w:val="28"/>
              </w:rPr>
            </w:pPr>
          </w:p>
        </w:tc>
      </w:tr>
    </w:tbl>
    <w:p w:rsidR="00BD722A" w:rsidRDefault="00BD722A" w:rsidP="00BD722A">
      <w:pPr>
        <w:jc w:val="both"/>
        <w:rPr>
          <w:i/>
        </w:rPr>
      </w:pPr>
      <w:r>
        <w:rPr>
          <w:sz w:val="28"/>
          <w:szCs w:val="28"/>
        </w:rPr>
        <w:t xml:space="preserve">              В соответствии с решением Совета народных депутатов города  Киржач </w:t>
      </w:r>
      <w:proofErr w:type="spellStart"/>
      <w:r>
        <w:rPr>
          <w:sz w:val="28"/>
          <w:szCs w:val="28"/>
        </w:rPr>
        <w:t>Киржачского</w:t>
      </w:r>
      <w:proofErr w:type="spellEnd"/>
      <w:r>
        <w:rPr>
          <w:sz w:val="28"/>
          <w:szCs w:val="28"/>
        </w:rPr>
        <w:t xml:space="preserve"> района Владимирской области от 25.09.2018 года №46/337  «</w:t>
      </w:r>
      <w:proofErr w:type="gramStart"/>
      <w:r>
        <w:rPr>
          <w:sz w:val="28"/>
          <w:szCs w:val="28"/>
        </w:rPr>
        <w:t>Об</w:t>
      </w:r>
      <w:proofErr w:type="gramEnd"/>
      <w:r>
        <w:rPr>
          <w:sz w:val="28"/>
          <w:szCs w:val="28"/>
        </w:rPr>
        <w:t xml:space="preserve"> утверждении Положения о бюджетном процессе в муниципальном образова</w:t>
      </w:r>
      <w:r w:rsidR="00067AA1">
        <w:rPr>
          <w:sz w:val="28"/>
          <w:szCs w:val="28"/>
        </w:rPr>
        <w:t>нии город Киржач», постановлением</w:t>
      </w:r>
      <w:r>
        <w:rPr>
          <w:sz w:val="28"/>
          <w:szCs w:val="28"/>
        </w:rPr>
        <w:t xml:space="preserve"> администрации города Киржач от 27.09.2018 г. № 900 «О порядке составления проекта бюджета  муниципального образования город Киржач </w:t>
      </w:r>
      <w:proofErr w:type="spellStart"/>
      <w:r>
        <w:rPr>
          <w:sz w:val="28"/>
          <w:szCs w:val="28"/>
        </w:rPr>
        <w:t>Киржачского</w:t>
      </w:r>
      <w:proofErr w:type="spellEnd"/>
      <w:r>
        <w:rPr>
          <w:sz w:val="28"/>
          <w:szCs w:val="28"/>
        </w:rPr>
        <w:t xml:space="preserve"> района на очередной фин</w:t>
      </w:r>
      <w:r w:rsidR="00067AA1">
        <w:rPr>
          <w:sz w:val="28"/>
          <w:szCs w:val="28"/>
        </w:rPr>
        <w:t xml:space="preserve">ансовый год и плановый период» </w:t>
      </w:r>
      <w:r>
        <w:rPr>
          <w:sz w:val="28"/>
          <w:szCs w:val="28"/>
        </w:rPr>
        <w:t xml:space="preserve"> </w:t>
      </w:r>
      <w:r w:rsidR="00067AA1">
        <w:rPr>
          <w:sz w:val="28"/>
          <w:szCs w:val="28"/>
        </w:rPr>
        <w:t xml:space="preserve">и </w:t>
      </w:r>
      <w:r>
        <w:rPr>
          <w:sz w:val="28"/>
          <w:szCs w:val="28"/>
        </w:rPr>
        <w:t xml:space="preserve"> в целях составления проекта бюджета  муниципального образования город Ки</w:t>
      </w:r>
      <w:r w:rsidR="00067AA1">
        <w:rPr>
          <w:sz w:val="28"/>
          <w:szCs w:val="28"/>
        </w:rPr>
        <w:t xml:space="preserve">ржач  </w:t>
      </w:r>
      <w:proofErr w:type="spellStart"/>
      <w:r w:rsidR="00067AA1">
        <w:rPr>
          <w:sz w:val="28"/>
          <w:szCs w:val="28"/>
        </w:rPr>
        <w:t>Киржачского</w:t>
      </w:r>
      <w:proofErr w:type="spellEnd"/>
      <w:r w:rsidR="00067AA1">
        <w:rPr>
          <w:sz w:val="28"/>
          <w:szCs w:val="28"/>
        </w:rPr>
        <w:t xml:space="preserve"> района на 2021 год и на плановый период 2022 и 2023</w:t>
      </w:r>
      <w:r>
        <w:rPr>
          <w:sz w:val="28"/>
          <w:szCs w:val="28"/>
        </w:rPr>
        <w:t xml:space="preserve"> годов </w:t>
      </w:r>
      <w:proofErr w:type="gramStart"/>
      <w:r w:rsidR="00067AA1">
        <w:rPr>
          <w:sz w:val="28"/>
          <w:szCs w:val="28"/>
        </w:rPr>
        <w:t xml:space="preserve">( </w:t>
      </w:r>
      <w:proofErr w:type="gramEnd"/>
      <w:r w:rsidR="00067AA1">
        <w:rPr>
          <w:sz w:val="28"/>
          <w:szCs w:val="28"/>
        </w:rPr>
        <w:t>далее – бюджет города)</w:t>
      </w:r>
    </w:p>
    <w:p w:rsidR="00BD722A" w:rsidRDefault="00BD722A" w:rsidP="00BD722A">
      <w:pPr>
        <w:pStyle w:val="ConsPlusNormal"/>
        <w:widowControl/>
        <w:ind w:firstLine="0"/>
        <w:jc w:val="both"/>
        <w:rPr>
          <w:rFonts w:ascii="Times New Roman" w:hAnsi="Times New Roman" w:cs="Times New Roman"/>
          <w:sz w:val="28"/>
          <w:szCs w:val="28"/>
        </w:rPr>
      </w:pPr>
    </w:p>
    <w:p w:rsidR="00BD722A" w:rsidRDefault="00BD722A" w:rsidP="00BD722A">
      <w:pPr>
        <w:jc w:val="center"/>
        <w:rPr>
          <w:b/>
          <w:sz w:val="28"/>
          <w:szCs w:val="28"/>
        </w:rPr>
      </w:pPr>
      <w:r>
        <w:rPr>
          <w:b/>
          <w:sz w:val="28"/>
          <w:szCs w:val="28"/>
        </w:rPr>
        <w:t>ПОСТАНОВЛЯЮ:</w:t>
      </w:r>
    </w:p>
    <w:p w:rsidR="00BD722A" w:rsidRDefault="00BD722A" w:rsidP="00BD722A">
      <w:pPr>
        <w:jc w:val="center"/>
        <w:rPr>
          <w:b/>
          <w:sz w:val="28"/>
          <w:szCs w:val="28"/>
        </w:rPr>
      </w:pPr>
    </w:p>
    <w:p w:rsidR="00BD722A" w:rsidRDefault="008C35AE" w:rsidP="00BD72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Одобрить</w:t>
      </w:r>
      <w:r w:rsidR="00BD722A">
        <w:rPr>
          <w:rFonts w:ascii="Times New Roman" w:hAnsi="Times New Roman" w:cs="Times New Roman"/>
          <w:sz w:val="28"/>
          <w:szCs w:val="28"/>
        </w:rPr>
        <w:t>:</w:t>
      </w:r>
    </w:p>
    <w:p w:rsidR="00BD722A" w:rsidRDefault="008C35AE" w:rsidP="00BD72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а)  о</w:t>
      </w:r>
      <w:r w:rsidR="00BD722A">
        <w:rPr>
          <w:rFonts w:ascii="Times New Roman" w:hAnsi="Times New Roman" w:cs="Times New Roman"/>
          <w:sz w:val="28"/>
          <w:szCs w:val="28"/>
        </w:rPr>
        <w:t>сновные направления  налоговой политики муниципального образования  город  Ки</w:t>
      </w:r>
      <w:r>
        <w:rPr>
          <w:rFonts w:ascii="Times New Roman" w:hAnsi="Times New Roman" w:cs="Times New Roman"/>
          <w:sz w:val="28"/>
          <w:szCs w:val="28"/>
        </w:rPr>
        <w:t xml:space="preserve">ржач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 на 2021 год и на плановый период 2022 и 2023</w:t>
      </w:r>
      <w:r w:rsidR="00BD722A">
        <w:rPr>
          <w:rFonts w:ascii="Times New Roman" w:hAnsi="Times New Roman" w:cs="Times New Roman"/>
          <w:sz w:val="28"/>
          <w:szCs w:val="28"/>
        </w:rPr>
        <w:t xml:space="preserve"> годов, изложенные в приложени</w:t>
      </w:r>
      <w:r>
        <w:rPr>
          <w:rFonts w:ascii="Times New Roman" w:hAnsi="Times New Roman" w:cs="Times New Roman"/>
          <w:sz w:val="28"/>
          <w:szCs w:val="28"/>
        </w:rPr>
        <w:t>и  №1</w:t>
      </w:r>
      <w:r w:rsidR="00BD722A">
        <w:rPr>
          <w:rFonts w:ascii="Times New Roman" w:hAnsi="Times New Roman" w:cs="Times New Roman"/>
          <w:sz w:val="28"/>
          <w:szCs w:val="28"/>
        </w:rPr>
        <w:t>;</w:t>
      </w:r>
    </w:p>
    <w:p w:rsidR="00BD722A" w:rsidRDefault="008C35AE" w:rsidP="00BD72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б) о</w:t>
      </w:r>
      <w:r w:rsidR="00BD722A">
        <w:rPr>
          <w:rFonts w:ascii="Times New Roman" w:hAnsi="Times New Roman" w:cs="Times New Roman"/>
          <w:sz w:val="28"/>
          <w:szCs w:val="28"/>
        </w:rPr>
        <w:t>сновные направления  бюджетной политики муниципального образования  город  Ки</w:t>
      </w:r>
      <w:r>
        <w:rPr>
          <w:rFonts w:ascii="Times New Roman" w:hAnsi="Times New Roman" w:cs="Times New Roman"/>
          <w:sz w:val="28"/>
          <w:szCs w:val="28"/>
        </w:rPr>
        <w:t xml:space="preserve">ржач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 на 2021 год и на плановый период 2022 и 2023</w:t>
      </w:r>
      <w:r w:rsidR="00BD722A">
        <w:rPr>
          <w:rFonts w:ascii="Times New Roman" w:hAnsi="Times New Roman" w:cs="Times New Roman"/>
          <w:sz w:val="28"/>
          <w:szCs w:val="28"/>
        </w:rPr>
        <w:t xml:space="preserve"> годов, изложенные в приложени</w:t>
      </w:r>
      <w:r>
        <w:rPr>
          <w:rFonts w:ascii="Times New Roman" w:hAnsi="Times New Roman" w:cs="Times New Roman"/>
          <w:sz w:val="28"/>
          <w:szCs w:val="28"/>
        </w:rPr>
        <w:t>и  №2</w:t>
      </w:r>
      <w:r w:rsidR="00BD722A">
        <w:rPr>
          <w:rFonts w:ascii="Times New Roman" w:hAnsi="Times New Roman" w:cs="Times New Roman"/>
          <w:sz w:val="28"/>
          <w:szCs w:val="28"/>
        </w:rPr>
        <w:t>;</w:t>
      </w:r>
    </w:p>
    <w:p w:rsidR="00BD722A" w:rsidRDefault="008C35AE" w:rsidP="00BD72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о</w:t>
      </w:r>
      <w:r w:rsidR="00BD722A">
        <w:rPr>
          <w:rFonts w:ascii="Times New Roman" w:hAnsi="Times New Roman" w:cs="Times New Roman"/>
          <w:sz w:val="28"/>
          <w:szCs w:val="28"/>
        </w:rPr>
        <w:t>сновные направления  долговой политики  муниципального образования  город  Ки</w:t>
      </w:r>
      <w:r>
        <w:rPr>
          <w:rFonts w:ascii="Times New Roman" w:hAnsi="Times New Roman" w:cs="Times New Roman"/>
          <w:sz w:val="28"/>
          <w:szCs w:val="28"/>
        </w:rPr>
        <w:t xml:space="preserve">ржач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 на 2021 год и на плановый период 2022 и 2023</w:t>
      </w:r>
      <w:r w:rsidR="00BD722A">
        <w:rPr>
          <w:rFonts w:ascii="Times New Roman" w:hAnsi="Times New Roman" w:cs="Times New Roman"/>
          <w:sz w:val="28"/>
          <w:szCs w:val="28"/>
        </w:rPr>
        <w:t xml:space="preserve"> годов, изложенные в приложени</w:t>
      </w:r>
      <w:r>
        <w:rPr>
          <w:rFonts w:ascii="Times New Roman" w:hAnsi="Times New Roman" w:cs="Times New Roman"/>
          <w:sz w:val="28"/>
          <w:szCs w:val="28"/>
        </w:rPr>
        <w:t>и  №3</w:t>
      </w:r>
      <w:proofErr w:type="gramStart"/>
      <w:r>
        <w:rPr>
          <w:rFonts w:ascii="Times New Roman" w:hAnsi="Times New Roman" w:cs="Times New Roman"/>
          <w:sz w:val="28"/>
          <w:szCs w:val="28"/>
        </w:rPr>
        <w:t xml:space="preserve"> </w:t>
      </w:r>
      <w:r w:rsidR="00BD722A">
        <w:rPr>
          <w:rFonts w:ascii="Times New Roman" w:hAnsi="Times New Roman" w:cs="Times New Roman"/>
          <w:sz w:val="28"/>
          <w:szCs w:val="28"/>
        </w:rPr>
        <w:t>;</w:t>
      </w:r>
      <w:proofErr w:type="gramEnd"/>
    </w:p>
    <w:p w:rsidR="00BD722A" w:rsidRDefault="008C35AE" w:rsidP="00BD72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 о</w:t>
      </w:r>
      <w:r w:rsidR="00BD722A">
        <w:rPr>
          <w:rFonts w:ascii="Times New Roman" w:hAnsi="Times New Roman" w:cs="Times New Roman"/>
          <w:sz w:val="28"/>
          <w:szCs w:val="28"/>
        </w:rPr>
        <w:t>сновные  характеристики  проекта бюджета муниципального образования город К</w:t>
      </w:r>
      <w:r>
        <w:rPr>
          <w:rFonts w:ascii="Times New Roman" w:hAnsi="Times New Roman" w:cs="Times New Roman"/>
          <w:sz w:val="28"/>
          <w:szCs w:val="28"/>
        </w:rPr>
        <w:t xml:space="preserve">иржач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 на 2021 год и на плановый период 2022 и 2023</w:t>
      </w:r>
      <w:r w:rsidR="00BD722A">
        <w:rPr>
          <w:rFonts w:ascii="Times New Roman" w:hAnsi="Times New Roman" w:cs="Times New Roman"/>
          <w:sz w:val="28"/>
          <w:szCs w:val="28"/>
        </w:rPr>
        <w:t xml:space="preserve"> годов согласно приложению</w:t>
      </w:r>
      <w:r>
        <w:rPr>
          <w:rFonts w:ascii="Times New Roman" w:hAnsi="Times New Roman" w:cs="Times New Roman"/>
          <w:sz w:val="28"/>
          <w:szCs w:val="28"/>
        </w:rPr>
        <w:t xml:space="preserve"> № 4</w:t>
      </w:r>
      <w:r w:rsidR="00BD722A">
        <w:rPr>
          <w:rFonts w:ascii="Times New Roman" w:hAnsi="Times New Roman" w:cs="Times New Roman"/>
          <w:sz w:val="28"/>
          <w:szCs w:val="28"/>
        </w:rPr>
        <w:t>.</w:t>
      </w:r>
    </w:p>
    <w:p w:rsidR="00BD722A" w:rsidRDefault="00BD722A" w:rsidP="00BD72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Установить, что  объем бюджетных ассигнований по отношению к объему, утвержденному настоящим постановлением, может быть изменен на суммы безвозмездных поступлений от областного бюджета, бюджета муниципального </w:t>
      </w:r>
      <w:r>
        <w:rPr>
          <w:rFonts w:ascii="Times New Roman" w:hAnsi="Times New Roman" w:cs="Times New Roman"/>
          <w:sz w:val="28"/>
          <w:szCs w:val="28"/>
        </w:rPr>
        <w:lastRenderedPageBreak/>
        <w:t xml:space="preserve">образования </w:t>
      </w:r>
      <w:proofErr w:type="spellStart"/>
      <w:r>
        <w:rPr>
          <w:rFonts w:ascii="Times New Roman" w:hAnsi="Times New Roman" w:cs="Times New Roman"/>
          <w:sz w:val="28"/>
          <w:szCs w:val="28"/>
        </w:rPr>
        <w:t>Киржачский</w:t>
      </w:r>
      <w:proofErr w:type="spellEnd"/>
      <w:r>
        <w:rPr>
          <w:rFonts w:ascii="Times New Roman" w:hAnsi="Times New Roman" w:cs="Times New Roman"/>
          <w:sz w:val="28"/>
          <w:szCs w:val="28"/>
        </w:rPr>
        <w:t xml:space="preserve"> район и от государственных корпораций, а также может быть перераспределен между главными распорядителями средств бюджета муниципального образования город Киржач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 в случае изменения их функций и </w:t>
      </w:r>
      <w:proofErr w:type="spellStart"/>
      <w:r>
        <w:rPr>
          <w:rFonts w:ascii="Times New Roman" w:hAnsi="Times New Roman" w:cs="Times New Roman"/>
          <w:sz w:val="28"/>
          <w:szCs w:val="28"/>
        </w:rPr>
        <w:t>полномочий</w:t>
      </w:r>
      <w:proofErr w:type="gramStart"/>
      <w:r w:rsidR="00EB0735">
        <w:rPr>
          <w:rFonts w:ascii="Times New Roman" w:hAnsi="Times New Roman" w:cs="Times New Roman"/>
          <w:sz w:val="28"/>
          <w:szCs w:val="28"/>
        </w:rPr>
        <w:t>,с</w:t>
      </w:r>
      <w:proofErr w:type="spellEnd"/>
      <w:proofErr w:type="gramEnd"/>
      <w:r w:rsidR="00EB0735">
        <w:rPr>
          <w:rFonts w:ascii="Times New Roman" w:hAnsi="Times New Roman" w:cs="Times New Roman"/>
          <w:sz w:val="28"/>
          <w:szCs w:val="28"/>
        </w:rPr>
        <w:t xml:space="preserve"> учетом мероприятий по оптимизации расходов бюджета города </w:t>
      </w:r>
      <w:r>
        <w:rPr>
          <w:rFonts w:ascii="Times New Roman" w:hAnsi="Times New Roman" w:cs="Times New Roman"/>
          <w:sz w:val="28"/>
          <w:szCs w:val="28"/>
        </w:rPr>
        <w:t xml:space="preserve"> и в связи с передачей муниципального имущества</w:t>
      </w:r>
      <w:r w:rsidR="00EB0735">
        <w:rPr>
          <w:rFonts w:ascii="Times New Roman" w:hAnsi="Times New Roman" w:cs="Times New Roman"/>
          <w:sz w:val="28"/>
          <w:szCs w:val="28"/>
        </w:rPr>
        <w:t>, а также в случае изменения параметров налоговой системы Российской Федерации.</w:t>
      </w:r>
      <w:r>
        <w:t xml:space="preserve"> </w:t>
      </w:r>
    </w:p>
    <w:p w:rsidR="00BD722A" w:rsidRDefault="00BD722A" w:rsidP="00BD72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w:t>
      </w:r>
      <w:r w:rsidR="00EB0735">
        <w:rPr>
          <w:rFonts w:ascii="Times New Roman" w:hAnsi="Times New Roman" w:cs="Times New Roman"/>
          <w:sz w:val="28"/>
          <w:szCs w:val="28"/>
        </w:rPr>
        <w:t xml:space="preserve">Подготовку нормативных правовых актов по принятию новых расходных обязательств муниципального образования город Киржач </w:t>
      </w:r>
      <w:proofErr w:type="spellStart"/>
      <w:r w:rsidR="00EB0735">
        <w:rPr>
          <w:rFonts w:ascii="Times New Roman" w:hAnsi="Times New Roman" w:cs="Times New Roman"/>
          <w:sz w:val="28"/>
          <w:szCs w:val="28"/>
        </w:rPr>
        <w:t>Киржачского</w:t>
      </w:r>
      <w:proofErr w:type="spellEnd"/>
      <w:r w:rsidR="00EB0735">
        <w:rPr>
          <w:rFonts w:ascii="Times New Roman" w:hAnsi="Times New Roman" w:cs="Times New Roman"/>
          <w:sz w:val="28"/>
          <w:szCs w:val="28"/>
        </w:rPr>
        <w:t xml:space="preserve"> района осуществлять в рамках ограничений расходов, установленных настоящим постановлением.</w:t>
      </w:r>
    </w:p>
    <w:p w:rsidR="00BD722A" w:rsidRDefault="00EB0735" w:rsidP="00BD722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BD722A">
        <w:rPr>
          <w:rFonts w:ascii="Times New Roman" w:hAnsi="Times New Roman" w:cs="Times New Roman"/>
          <w:sz w:val="28"/>
          <w:szCs w:val="28"/>
        </w:rPr>
        <w:t xml:space="preserve">. </w:t>
      </w:r>
      <w:proofErr w:type="gramStart"/>
      <w:r w:rsidR="00BD722A">
        <w:rPr>
          <w:rFonts w:ascii="Times New Roman" w:hAnsi="Times New Roman" w:cs="Times New Roman"/>
          <w:sz w:val="28"/>
          <w:szCs w:val="28"/>
        </w:rPr>
        <w:t>Контроль за</w:t>
      </w:r>
      <w:proofErr w:type="gramEnd"/>
      <w:r w:rsidR="00BD722A">
        <w:rPr>
          <w:rFonts w:ascii="Times New Roman" w:hAnsi="Times New Roman" w:cs="Times New Roman"/>
          <w:sz w:val="28"/>
          <w:szCs w:val="28"/>
        </w:rPr>
        <w:t xml:space="preserve"> выполнением настоящего постановления возложить на финансовый отдел администрации города Киржач.</w:t>
      </w:r>
    </w:p>
    <w:p w:rsidR="00BD722A" w:rsidRDefault="00EB0735" w:rsidP="00BD72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w:t>
      </w:r>
      <w:r w:rsidR="00BD722A">
        <w:rPr>
          <w:rFonts w:ascii="Times New Roman" w:hAnsi="Times New Roman" w:cs="Times New Roman"/>
          <w:sz w:val="28"/>
          <w:szCs w:val="28"/>
        </w:rPr>
        <w:t xml:space="preserve">. Настоящее постановление вступает в силу </w:t>
      </w:r>
      <w:proofErr w:type="gramStart"/>
      <w:r w:rsidR="00BD722A">
        <w:rPr>
          <w:rFonts w:ascii="Times New Roman" w:hAnsi="Times New Roman" w:cs="Times New Roman"/>
          <w:sz w:val="28"/>
          <w:szCs w:val="28"/>
        </w:rPr>
        <w:t>с даты</w:t>
      </w:r>
      <w:proofErr w:type="gramEnd"/>
      <w:r w:rsidR="00BD722A">
        <w:rPr>
          <w:rFonts w:ascii="Times New Roman" w:hAnsi="Times New Roman" w:cs="Times New Roman"/>
          <w:sz w:val="28"/>
          <w:szCs w:val="28"/>
        </w:rPr>
        <w:t xml:space="preserve">  его подписания  и  подлежит размещению на официальном сайте администрации города Киржач </w:t>
      </w:r>
      <w:proofErr w:type="spellStart"/>
      <w:r w:rsidR="00BD722A">
        <w:rPr>
          <w:rFonts w:ascii="Times New Roman" w:hAnsi="Times New Roman" w:cs="Times New Roman"/>
          <w:sz w:val="28"/>
          <w:szCs w:val="28"/>
        </w:rPr>
        <w:t>Киржачского</w:t>
      </w:r>
      <w:proofErr w:type="spellEnd"/>
      <w:r w:rsidR="00BD722A">
        <w:rPr>
          <w:rFonts w:ascii="Times New Roman" w:hAnsi="Times New Roman" w:cs="Times New Roman"/>
          <w:sz w:val="28"/>
          <w:szCs w:val="28"/>
        </w:rPr>
        <w:t xml:space="preserve"> района.</w:t>
      </w:r>
    </w:p>
    <w:p w:rsidR="00BD722A" w:rsidRDefault="00BD722A" w:rsidP="00BD722A">
      <w:pPr>
        <w:pStyle w:val="ConsPlusNormal"/>
        <w:widowControl/>
        <w:ind w:firstLine="0"/>
        <w:rPr>
          <w:rFonts w:ascii="Times New Roman" w:hAnsi="Times New Roman" w:cs="Times New Roman"/>
          <w:sz w:val="28"/>
          <w:szCs w:val="28"/>
        </w:rPr>
      </w:pPr>
    </w:p>
    <w:p w:rsidR="00BD722A" w:rsidRDefault="00BD722A" w:rsidP="00BD722A">
      <w:pPr>
        <w:pStyle w:val="ConsPlusNormal"/>
        <w:widowControl/>
        <w:ind w:firstLine="0"/>
        <w:rPr>
          <w:rFonts w:ascii="Times New Roman" w:hAnsi="Times New Roman" w:cs="Times New Roman"/>
          <w:sz w:val="28"/>
          <w:szCs w:val="28"/>
        </w:rPr>
      </w:pPr>
    </w:p>
    <w:p w:rsidR="00BD722A" w:rsidRDefault="00BD722A" w:rsidP="00BD722A">
      <w:pPr>
        <w:pStyle w:val="ConsPlusNormal"/>
        <w:widowControl/>
        <w:ind w:firstLine="0"/>
        <w:rPr>
          <w:rFonts w:ascii="Times New Roman" w:hAnsi="Times New Roman" w:cs="Times New Roman"/>
          <w:sz w:val="28"/>
          <w:szCs w:val="28"/>
        </w:rPr>
      </w:pPr>
    </w:p>
    <w:p w:rsidR="00BD722A" w:rsidRDefault="00BD722A" w:rsidP="00BD722A">
      <w:pPr>
        <w:pStyle w:val="ConsPlusNormal"/>
        <w:widowControl/>
        <w:ind w:firstLine="0"/>
        <w:rPr>
          <w:rFonts w:ascii="Times New Roman" w:hAnsi="Times New Roman" w:cs="Times New Roman"/>
          <w:sz w:val="28"/>
          <w:szCs w:val="28"/>
        </w:rPr>
      </w:pPr>
    </w:p>
    <w:p w:rsidR="00BD722A" w:rsidRDefault="00BD722A" w:rsidP="00BD722A">
      <w:pPr>
        <w:pStyle w:val="ConsPlusNormal"/>
        <w:widowControl/>
        <w:ind w:firstLine="0"/>
        <w:rPr>
          <w:rFonts w:ascii="Times New Roman" w:hAnsi="Times New Roman" w:cs="Times New Roman"/>
          <w:sz w:val="28"/>
          <w:szCs w:val="28"/>
        </w:rPr>
      </w:pPr>
    </w:p>
    <w:p w:rsidR="00BD722A" w:rsidRDefault="00EB0735" w:rsidP="00BD722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И.о. г</w:t>
      </w:r>
      <w:r w:rsidR="00BD722A">
        <w:rPr>
          <w:rFonts w:ascii="Times New Roman" w:hAnsi="Times New Roman" w:cs="Times New Roman"/>
          <w:sz w:val="28"/>
          <w:szCs w:val="28"/>
        </w:rPr>
        <w:t xml:space="preserve">лава администрации                                </w:t>
      </w:r>
      <w:r>
        <w:rPr>
          <w:rFonts w:ascii="Times New Roman" w:hAnsi="Times New Roman" w:cs="Times New Roman"/>
          <w:sz w:val="28"/>
          <w:szCs w:val="28"/>
        </w:rPr>
        <w:t xml:space="preserve">                М.Н.Мошкова</w:t>
      </w:r>
      <w:r w:rsidR="00BD722A">
        <w:rPr>
          <w:rFonts w:ascii="Times New Roman" w:hAnsi="Times New Roman" w:cs="Times New Roman"/>
          <w:sz w:val="28"/>
          <w:szCs w:val="28"/>
        </w:rPr>
        <w:t xml:space="preserve">  </w:t>
      </w:r>
    </w:p>
    <w:p w:rsidR="00BD722A" w:rsidRDefault="00BD722A" w:rsidP="00BD722A">
      <w:pPr>
        <w:pStyle w:val="ConsPlusNormal"/>
        <w:widowControl/>
        <w:ind w:firstLine="0"/>
        <w:jc w:val="center"/>
        <w:rPr>
          <w:rFonts w:ascii="Times New Roman" w:hAnsi="Times New Roman" w:cs="Times New Roman"/>
          <w:sz w:val="28"/>
          <w:szCs w:val="28"/>
        </w:rPr>
      </w:pPr>
    </w:p>
    <w:p w:rsidR="001A1814" w:rsidRDefault="001A1814" w:rsidP="00252E55">
      <w:pPr>
        <w:jc w:val="both"/>
        <w:rPr>
          <w:b/>
        </w:rPr>
      </w:pPr>
    </w:p>
    <w:p w:rsidR="001A1814" w:rsidRDefault="001A1814" w:rsidP="00252E55">
      <w:pPr>
        <w:jc w:val="both"/>
        <w:rPr>
          <w:b/>
        </w:rPr>
      </w:pPr>
    </w:p>
    <w:p w:rsidR="001A1814" w:rsidRDefault="001A1814" w:rsidP="00252E55">
      <w:pPr>
        <w:jc w:val="both"/>
        <w:rPr>
          <w:b/>
        </w:rPr>
      </w:pPr>
    </w:p>
    <w:p w:rsidR="001A1814" w:rsidRDefault="001A1814" w:rsidP="00252E55">
      <w:pPr>
        <w:jc w:val="both"/>
        <w:rPr>
          <w:b/>
        </w:rPr>
      </w:pPr>
    </w:p>
    <w:p w:rsidR="001A1814" w:rsidRDefault="001A1814" w:rsidP="00252E55">
      <w:pPr>
        <w:jc w:val="both"/>
        <w:rPr>
          <w:b/>
        </w:rPr>
      </w:pPr>
    </w:p>
    <w:p w:rsidR="001A1814" w:rsidRDefault="001A1814"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1A1814" w:rsidRDefault="001A1814" w:rsidP="00252E55">
      <w:pPr>
        <w:jc w:val="both"/>
        <w:rPr>
          <w:b/>
        </w:rPr>
      </w:pPr>
    </w:p>
    <w:p w:rsidR="001A1814" w:rsidRDefault="001A1814" w:rsidP="00252E55">
      <w:pPr>
        <w:jc w:val="both"/>
        <w:rPr>
          <w:b/>
        </w:rPr>
      </w:pPr>
    </w:p>
    <w:p w:rsidR="003A7882" w:rsidRDefault="003A7882" w:rsidP="003A7882"/>
    <w:p w:rsidR="003A7882" w:rsidRDefault="003A7882" w:rsidP="003A7882">
      <w:pPr>
        <w:ind w:firstLine="708"/>
        <w:jc w:val="both"/>
      </w:pPr>
    </w:p>
    <w:p w:rsidR="003A7882" w:rsidRPr="00C7120E" w:rsidRDefault="00BD66DA" w:rsidP="00C7120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252E55">
        <w:rPr>
          <w:rFonts w:ascii="Times New Roman" w:hAnsi="Times New Roman" w:cs="Times New Roman"/>
          <w:sz w:val="28"/>
          <w:szCs w:val="28"/>
        </w:rPr>
        <w:t xml:space="preserve">      </w:t>
      </w:r>
      <w:r w:rsidR="001211DF">
        <w:rPr>
          <w:rFonts w:ascii="Times New Roman" w:hAnsi="Times New Roman" w:cs="Times New Roman"/>
          <w:sz w:val="28"/>
          <w:szCs w:val="28"/>
        </w:rPr>
        <w:t xml:space="preserve">                    </w:t>
      </w:r>
      <w:r w:rsidR="00C7120E">
        <w:rPr>
          <w:rFonts w:ascii="Times New Roman" w:hAnsi="Times New Roman" w:cs="Times New Roman"/>
          <w:sz w:val="28"/>
          <w:szCs w:val="28"/>
        </w:rPr>
        <w:t xml:space="preserve">               </w:t>
      </w:r>
    </w:p>
    <w:tbl>
      <w:tblPr>
        <w:tblW w:w="0" w:type="auto"/>
        <w:tblLook w:val="01E0"/>
      </w:tblPr>
      <w:tblGrid>
        <w:gridCol w:w="6345"/>
        <w:gridCol w:w="3792"/>
      </w:tblGrid>
      <w:tr w:rsidR="00162B51" w:rsidTr="00162B51">
        <w:trPr>
          <w:trHeight w:val="1940"/>
        </w:trPr>
        <w:tc>
          <w:tcPr>
            <w:tcW w:w="6345" w:type="dxa"/>
          </w:tcPr>
          <w:p w:rsidR="00162B51" w:rsidRDefault="00162B51" w:rsidP="0000617D">
            <w:pPr>
              <w:rPr>
                <w:sz w:val="28"/>
              </w:rPr>
            </w:pPr>
          </w:p>
        </w:tc>
        <w:tc>
          <w:tcPr>
            <w:tcW w:w="3792" w:type="dxa"/>
            <w:hideMark/>
          </w:tcPr>
          <w:p w:rsidR="004346DE" w:rsidRDefault="004346DE" w:rsidP="00C7120E"/>
          <w:p w:rsidR="004346DE" w:rsidRDefault="004346DE">
            <w:pPr>
              <w:jc w:val="right"/>
            </w:pPr>
          </w:p>
          <w:p w:rsidR="004346DE" w:rsidRDefault="004346DE">
            <w:pPr>
              <w:jc w:val="right"/>
            </w:pPr>
          </w:p>
          <w:p w:rsidR="004346DE" w:rsidRDefault="004346DE">
            <w:pPr>
              <w:jc w:val="right"/>
            </w:pPr>
          </w:p>
          <w:p w:rsidR="00766F0B" w:rsidRDefault="00766F0B">
            <w:pPr>
              <w:jc w:val="right"/>
            </w:pPr>
          </w:p>
          <w:p w:rsidR="00E604F5" w:rsidRDefault="00E604F5">
            <w:pPr>
              <w:jc w:val="right"/>
            </w:pPr>
          </w:p>
          <w:p w:rsidR="00E604F5" w:rsidRDefault="00E604F5">
            <w:pPr>
              <w:jc w:val="right"/>
            </w:pPr>
          </w:p>
          <w:p w:rsidR="00E604F5" w:rsidRDefault="00E604F5">
            <w:pPr>
              <w:jc w:val="right"/>
            </w:pPr>
          </w:p>
          <w:p w:rsidR="00B02BFF" w:rsidRDefault="00B02BFF">
            <w:pPr>
              <w:jc w:val="right"/>
            </w:pPr>
          </w:p>
          <w:p w:rsidR="00B02BFF" w:rsidRDefault="00B02BFF">
            <w:pPr>
              <w:jc w:val="right"/>
            </w:pPr>
          </w:p>
          <w:p w:rsidR="008F7C63" w:rsidRDefault="008F7C63">
            <w:pPr>
              <w:jc w:val="right"/>
            </w:pPr>
          </w:p>
          <w:p w:rsidR="00162B51" w:rsidRDefault="00162B51">
            <w:pPr>
              <w:jc w:val="right"/>
            </w:pPr>
            <w:r>
              <w:t>Приложение №1</w:t>
            </w:r>
          </w:p>
          <w:p w:rsidR="00162B51" w:rsidRDefault="00162B51" w:rsidP="00EB7F34">
            <w:pPr>
              <w:jc w:val="right"/>
            </w:pPr>
            <w:r>
              <w:t>к постановлению</w:t>
            </w:r>
            <w:r w:rsidR="00EB7F34">
              <w:t xml:space="preserve"> администрации</w:t>
            </w:r>
            <w:r w:rsidR="000D30BF">
              <w:t xml:space="preserve"> </w:t>
            </w:r>
          </w:p>
          <w:p w:rsidR="002D01A9" w:rsidRDefault="002D01A9" w:rsidP="00EB7F34">
            <w:pPr>
              <w:jc w:val="right"/>
            </w:pPr>
            <w:r>
              <w:t>города Киржач</w:t>
            </w:r>
          </w:p>
          <w:p w:rsidR="00162B51" w:rsidRDefault="001B0096">
            <w:pPr>
              <w:jc w:val="right"/>
            </w:pPr>
            <w:r>
              <w:t>от 30.09</w:t>
            </w:r>
            <w:r w:rsidR="006400D4">
              <w:t>.2020</w:t>
            </w:r>
            <w:r w:rsidR="00B30285">
              <w:t xml:space="preserve"> </w:t>
            </w:r>
            <w:r w:rsidR="00162B51">
              <w:t>№</w:t>
            </w:r>
            <w:r w:rsidR="000D30BF">
              <w:t xml:space="preserve"> </w:t>
            </w:r>
            <w:r w:rsidR="006400D4">
              <w:t>675</w:t>
            </w:r>
          </w:p>
        </w:tc>
      </w:tr>
    </w:tbl>
    <w:p w:rsidR="00162B51" w:rsidRDefault="00162B51" w:rsidP="001B42D4">
      <w:pPr>
        <w:jc w:val="center"/>
        <w:rPr>
          <w:b/>
          <w:sz w:val="28"/>
          <w:szCs w:val="28"/>
        </w:rPr>
      </w:pPr>
      <w:r>
        <w:rPr>
          <w:b/>
          <w:sz w:val="28"/>
          <w:szCs w:val="28"/>
        </w:rPr>
        <w:lastRenderedPageBreak/>
        <w:t>Основные направления  налоговой политики</w:t>
      </w:r>
    </w:p>
    <w:p w:rsidR="00162B51" w:rsidRDefault="00162B51" w:rsidP="00162B51">
      <w:pPr>
        <w:jc w:val="center"/>
        <w:rPr>
          <w:b/>
          <w:sz w:val="28"/>
          <w:szCs w:val="28"/>
        </w:rPr>
      </w:pPr>
      <w:r>
        <w:rPr>
          <w:b/>
          <w:sz w:val="28"/>
          <w:szCs w:val="28"/>
        </w:rPr>
        <w:t xml:space="preserve"> муниципального образования город</w:t>
      </w:r>
      <w:r w:rsidR="00051813">
        <w:rPr>
          <w:b/>
          <w:sz w:val="28"/>
          <w:szCs w:val="28"/>
        </w:rPr>
        <w:t xml:space="preserve"> </w:t>
      </w:r>
      <w:r w:rsidR="0045780C">
        <w:rPr>
          <w:b/>
          <w:sz w:val="28"/>
          <w:szCs w:val="28"/>
        </w:rPr>
        <w:t>Киржач</w:t>
      </w:r>
      <w:r w:rsidR="006400D4">
        <w:rPr>
          <w:b/>
          <w:sz w:val="28"/>
          <w:szCs w:val="28"/>
        </w:rPr>
        <w:t xml:space="preserve"> </w:t>
      </w:r>
      <w:proofErr w:type="spellStart"/>
      <w:r w:rsidR="006400D4">
        <w:rPr>
          <w:b/>
          <w:sz w:val="28"/>
          <w:szCs w:val="28"/>
        </w:rPr>
        <w:t>Киржачского</w:t>
      </w:r>
      <w:proofErr w:type="spellEnd"/>
      <w:r w:rsidR="006400D4">
        <w:rPr>
          <w:b/>
          <w:sz w:val="28"/>
          <w:szCs w:val="28"/>
        </w:rPr>
        <w:t xml:space="preserve"> района на 2021</w:t>
      </w:r>
      <w:r>
        <w:rPr>
          <w:b/>
          <w:sz w:val="28"/>
          <w:szCs w:val="28"/>
        </w:rPr>
        <w:t xml:space="preserve"> год и  плановый</w:t>
      </w:r>
      <w:r w:rsidR="00721DAF">
        <w:rPr>
          <w:b/>
          <w:sz w:val="28"/>
          <w:szCs w:val="28"/>
        </w:rPr>
        <w:t xml:space="preserve"> </w:t>
      </w:r>
      <w:r>
        <w:rPr>
          <w:b/>
          <w:sz w:val="28"/>
          <w:szCs w:val="28"/>
        </w:rPr>
        <w:t xml:space="preserve">период </w:t>
      </w:r>
      <w:r w:rsidR="006400D4">
        <w:rPr>
          <w:b/>
          <w:sz w:val="28"/>
          <w:szCs w:val="28"/>
        </w:rPr>
        <w:t>2022 и 2023</w:t>
      </w:r>
      <w:r>
        <w:rPr>
          <w:b/>
          <w:sz w:val="28"/>
          <w:szCs w:val="28"/>
        </w:rPr>
        <w:t xml:space="preserve"> годов</w:t>
      </w:r>
    </w:p>
    <w:p w:rsidR="00162B51" w:rsidRDefault="00162B51" w:rsidP="00162B51">
      <w:pPr>
        <w:rPr>
          <w:sz w:val="28"/>
          <w:szCs w:val="28"/>
        </w:rPr>
      </w:pPr>
    </w:p>
    <w:p w:rsidR="00162B51" w:rsidRDefault="00162B51" w:rsidP="00162B5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Основные направления налоговой политики  муниципального образования горо</w:t>
      </w:r>
      <w:r w:rsidR="00B412E1">
        <w:rPr>
          <w:rFonts w:ascii="Times New Roman" w:hAnsi="Times New Roman" w:cs="Times New Roman"/>
          <w:sz w:val="28"/>
          <w:szCs w:val="28"/>
        </w:rPr>
        <w:t xml:space="preserve">д  </w:t>
      </w:r>
      <w:r w:rsidR="0045780C">
        <w:rPr>
          <w:rFonts w:ascii="Times New Roman" w:hAnsi="Times New Roman" w:cs="Times New Roman"/>
          <w:sz w:val="28"/>
          <w:szCs w:val="28"/>
        </w:rPr>
        <w:t>Киржач</w:t>
      </w:r>
      <w:r w:rsidR="00A03788">
        <w:rPr>
          <w:rFonts w:ascii="Times New Roman" w:hAnsi="Times New Roman" w:cs="Times New Roman"/>
          <w:sz w:val="28"/>
          <w:szCs w:val="28"/>
        </w:rPr>
        <w:t xml:space="preserve">  </w:t>
      </w:r>
      <w:proofErr w:type="spellStart"/>
      <w:r w:rsidR="00A03788">
        <w:rPr>
          <w:rFonts w:ascii="Times New Roman" w:hAnsi="Times New Roman" w:cs="Times New Roman"/>
          <w:sz w:val="28"/>
          <w:szCs w:val="28"/>
        </w:rPr>
        <w:t>Киржачского</w:t>
      </w:r>
      <w:proofErr w:type="spellEnd"/>
      <w:r w:rsidR="00A03788">
        <w:rPr>
          <w:rFonts w:ascii="Times New Roman" w:hAnsi="Times New Roman" w:cs="Times New Roman"/>
          <w:sz w:val="28"/>
          <w:szCs w:val="28"/>
        </w:rPr>
        <w:t xml:space="preserve"> района  н</w:t>
      </w:r>
      <w:r w:rsidR="001F4515">
        <w:rPr>
          <w:rFonts w:ascii="Times New Roman" w:hAnsi="Times New Roman" w:cs="Times New Roman"/>
          <w:sz w:val="28"/>
          <w:szCs w:val="28"/>
        </w:rPr>
        <w:t>а 2021 год и на плановый период 2022 и 2023</w:t>
      </w:r>
      <w:r>
        <w:rPr>
          <w:rFonts w:ascii="Times New Roman" w:hAnsi="Times New Roman" w:cs="Times New Roman"/>
          <w:sz w:val="28"/>
          <w:szCs w:val="28"/>
        </w:rPr>
        <w:t xml:space="preserve"> годов разработаны в соответствии со </w:t>
      </w:r>
      <w:hyperlink r:id="rId9" w:history="1">
        <w:r w:rsidRPr="00162B51">
          <w:rPr>
            <w:rStyle w:val="aa"/>
            <w:rFonts w:ascii="Times New Roman" w:hAnsi="Times New Roman" w:cs="Times New Roman"/>
            <w:color w:val="auto"/>
            <w:sz w:val="28"/>
            <w:szCs w:val="28"/>
            <w:u w:val="none"/>
          </w:rPr>
          <w:t>статьей 172</w:t>
        </w:r>
      </w:hyperlink>
      <w:r>
        <w:rPr>
          <w:rFonts w:ascii="Times New Roman" w:hAnsi="Times New Roman" w:cs="Times New Roman"/>
          <w:sz w:val="28"/>
          <w:szCs w:val="28"/>
        </w:rPr>
        <w:t xml:space="preserve">  Бюджетного кодекса Российской Федерации, </w:t>
      </w:r>
      <w:r w:rsidR="001F4515">
        <w:rPr>
          <w:rFonts w:ascii="Times New Roman" w:hAnsi="Times New Roman" w:cs="Times New Roman"/>
          <w:sz w:val="28"/>
          <w:szCs w:val="28"/>
        </w:rPr>
        <w:t>Положением</w:t>
      </w:r>
      <w:r>
        <w:rPr>
          <w:rFonts w:ascii="Times New Roman" w:hAnsi="Times New Roman" w:cs="Times New Roman"/>
          <w:sz w:val="28"/>
          <w:szCs w:val="28"/>
        </w:rPr>
        <w:t xml:space="preserve"> о бюджетном процессе в муниципальном образовани</w:t>
      </w:r>
      <w:r w:rsidR="0045780C">
        <w:rPr>
          <w:rFonts w:ascii="Times New Roman" w:hAnsi="Times New Roman" w:cs="Times New Roman"/>
          <w:sz w:val="28"/>
          <w:szCs w:val="28"/>
        </w:rPr>
        <w:t>и го</w:t>
      </w:r>
      <w:r w:rsidR="005E0FF1">
        <w:rPr>
          <w:rFonts w:ascii="Times New Roman" w:hAnsi="Times New Roman" w:cs="Times New Roman"/>
          <w:sz w:val="28"/>
          <w:szCs w:val="28"/>
        </w:rPr>
        <w:t xml:space="preserve">род </w:t>
      </w:r>
      <w:r w:rsidR="0045780C">
        <w:rPr>
          <w:rFonts w:ascii="Times New Roman" w:hAnsi="Times New Roman" w:cs="Times New Roman"/>
          <w:sz w:val="28"/>
          <w:szCs w:val="28"/>
        </w:rPr>
        <w:t>Киржач</w:t>
      </w:r>
      <w:r w:rsidR="00D6279C">
        <w:rPr>
          <w:rFonts w:ascii="Times New Roman" w:hAnsi="Times New Roman" w:cs="Times New Roman"/>
          <w:sz w:val="28"/>
          <w:szCs w:val="28"/>
        </w:rPr>
        <w:t xml:space="preserve"> </w:t>
      </w:r>
      <w:proofErr w:type="spellStart"/>
      <w:r w:rsidR="00D6279C">
        <w:rPr>
          <w:rFonts w:ascii="Times New Roman" w:hAnsi="Times New Roman" w:cs="Times New Roman"/>
          <w:sz w:val="28"/>
          <w:szCs w:val="28"/>
        </w:rPr>
        <w:t>Киржачского</w:t>
      </w:r>
      <w:proofErr w:type="spellEnd"/>
      <w:r w:rsidR="00D6279C">
        <w:rPr>
          <w:rFonts w:ascii="Times New Roman" w:hAnsi="Times New Roman" w:cs="Times New Roman"/>
          <w:sz w:val="28"/>
          <w:szCs w:val="28"/>
        </w:rPr>
        <w:t xml:space="preserve"> района Владимирской области</w:t>
      </w:r>
      <w:r w:rsidR="001F4515">
        <w:rPr>
          <w:rFonts w:ascii="Times New Roman" w:hAnsi="Times New Roman" w:cs="Times New Roman"/>
          <w:sz w:val="28"/>
          <w:szCs w:val="28"/>
        </w:rPr>
        <w:t>, утвержденным</w:t>
      </w:r>
      <w:r w:rsidR="001F4515" w:rsidRPr="001F4515">
        <w:rPr>
          <w:rFonts w:ascii="Times New Roman" w:hAnsi="Times New Roman" w:cs="Times New Roman"/>
          <w:sz w:val="28"/>
          <w:szCs w:val="28"/>
        </w:rPr>
        <w:t xml:space="preserve"> </w:t>
      </w:r>
      <w:r w:rsidR="001F4515">
        <w:rPr>
          <w:rFonts w:ascii="Times New Roman" w:hAnsi="Times New Roman" w:cs="Times New Roman"/>
          <w:sz w:val="28"/>
          <w:szCs w:val="28"/>
        </w:rPr>
        <w:t xml:space="preserve">решением Совета народных депутатов города Киржач  </w:t>
      </w:r>
      <w:proofErr w:type="spellStart"/>
      <w:r w:rsidR="001F4515">
        <w:rPr>
          <w:rFonts w:ascii="Times New Roman" w:hAnsi="Times New Roman" w:cs="Times New Roman"/>
          <w:sz w:val="28"/>
          <w:szCs w:val="28"/>
        </w:rPr>
        <w:t>Киржачского</w:t>
      </w:r>
      <w:proofErr w:type="spellEnd"/>
      <w:r w:rsidR="001F4515">
        <w:rPr>
          <w:rFonts w:ascii="Times New Roman" w:hAnsi="Times New Roman" w:cs="Times New Roman"/>
          <w:sz w:val="28"/>
          <w:szCs w:val="28"/>
        </w:rPr>
        <w:t xml:space="preserve"> района от 25.09.2018 № 46/337.</w:t>
      </w:r>
      <w:proofErr w:type="gramEnd"/>
    </w:p>
    <w:p w:rsidR="0077579E" w:rsidRDefault="00213804" w:rsidP="00162B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Налоговая политика города Киржач определена с учетом основных направлений налоговой политики Российской Федерации  и Владимирской области на 2021 год и на плановый период 2022 и 2023 годов.</w:t>
      </w:r>
    </w:p>
    <w:p w:rsidR="001425D2" w:rsidRDefault="00A16A01" w:rsidP="00162B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изменений параметров налоговой системы Российской Федерации основные направления налоговой политики   муниципального образования город Киржач мо</w:t>
      </w:r>
      <w:r w:rsidR="00213804">
        <w:rPr>
          <w:rFonts w:ascii="Times New Roman" w:hAnsi="Times New Roman" w:cs="Times New Roman"/>
          <w:sz w:val="28"/>
          <w:szCs w:val="28"/>
        </w:rPr>
        <w:t>гут быть  скорректированы в 2021</w:t>
      </w:r>
      <w:r>
        <w:rPr>
          <w:rFonts w:ascii="Times New Roman" w:hAnsi="Times New Roman" w:cs="Times New Roman"/>
          <w:sz w:val="28"/>
          <w:szCs w:val="28"/>
        </w:rPr>
        <w:t xml:space="preserve"> году при  определ</w:t>
      </w:r>
      <w:r w:rsidR="00213804">
        <w:rPr>
          <w:rFonts w:ascii="Times New Roman" w:hAnsi="Times New Roman" w:cs="Times New Roman"/>
          <w:sz w:val="28"/>
          <w:szCs w:val="28"/>
        </w:rPr>
        <w:t>ении  налоговой политики на 2022</w:t>
      </w:r>
      <w:r>
        <w:rPr>
          <w:rFonts w:ascii="Times New Roman" w:hAnsi="Times New Roman" w:cs="Times New Roman"/>
          <w:sz w:val="28"/>
          <w:szCs w:val="28"/>
        </w:rPr>
        <w:t xml:space="preserve"> и последующие годы.</w:t>
      </w:r>
    </w:p>
    <w:p w:rsidR="00624886" w:rsidRPr="001665D5" w:rsidRDefault="00BD07D9" w:rsidP="00882CA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24886" w:rsidRDefault="00624886" w:rsidP="00624886">
      <w:pPr>
        <w:autoSpaceDE w:val="0"/>
        <w:autoSpaceDN w:val="0"/>
        <w:adjustRightInd w:val="0"/>
        <w:jc w:val="center"/>
        <w:rPr>
          <w:b/>
          <w:sz w:val="28"/>
          <w:szCs w:val="28"/>
        </w:rPr>
      </w:pPr>
      <w:r>
        <w:rPr>
          <w:b/>
          <w:sz w:val="28"/>
          <w:szCs w:val="28"/>
        </w:rPr>
        <w:t>1.Основные проблемы реализации налоговой политики в 2020 году</w:t>
      </w:r>
    </w:p>
    <w:p w:rsidR="00624886" w:rsidRDefault="00624886" w:rsidP="00624886">
      <w:pPr>
        <w:autoSpaceDE w:val="0"/>
        <w:autoSpaceDN w:val="0"/>
        <w:adjustRightInd w:val="0"/>
        <w:jc w:val="both"/>
        <w:rPr>
          <w:b/>
          <w:sz w:val="28"/>
          <w:szCs w:val="28"/>
        </w:rPr>
      </w:pPr>
    </w:p>
    <w:p w:rsidR="00624886" w:rsidRDefault="00624886" w:rsidP="00624886">
      <w:pPr>
        <w:autoSpaceDE w:val="0"/>
        <w:autoSpaceDN w:val="0"/>
        <w:adjustRightInd w:val="0"/>
        <w:ind w:firstLine="567"/>
        <w:jc w:val="both"/>
        <w:rPr>
          <w:sz w:val="28"/>
          <w:szCs w:val="28"/>
        </w:rPr>
      </w:pPr>
      <w:r>
        <w:rPr>
          <w:sz w:val="28"/>
          <w:szCs w:val="28"/>
        </w:rPr>
        <w:t xml:space="preserve">Для бюджетной системы города в 2020 году имеются риски, обусловленные сложившейся экономической ситуацией в России в связи с распространением </w:t>
      </w:r>
      <w:r>
        <w:rPr>
          <w:sz w:val="28"/>
          <w:szCs w:val="28"/>
          <w:lang w:val="en-US"/>
        </w:rPr>
        <w:t>COVID</w:t>
      </w:r>
      <w:r>
        <w:rPr>
          <w:sz w:val="28"/>
          <w:szCs w:val="28"/>
        </w:rPr>
        <w:t xml:space="preserve">-19 и принятием мер по устранению последствий </w:t>
      </w:r>
      <w:proofErr w:type="spellStart"/>
      <w:r>
        <w:rPr>
          <w:sz w:val="28"/>
          <w:szCs w:val="28"/>
        </w:rPr>
        <w:t>короновирусной</w:t>
      </w:r>
      <w:proofErr w:type="spellEnd"/>
      <w:r>
        <w:rPr>
          <w:sz w:val="28"/>
          <w:szCs w:val="28"/>
        </w:rPr>
        <w:t xml:space="preserve"> инфекции.</w:t>
      </w:r>
    </w:p>
    <w:p w:rsidR="00624886" w:rsidRDefault="00624886" w:rsidP="00624886">
      <w:pPr>
        <w:autoSpaceDE w:val="0"/>
        <w:autoSpaceDN w:val="0"/>
        <w:adjustRightInd w:val="0"/>
        <w:ind w:firstLine="567"/>
        <w:jc w:val="both"/>
        <w:rPr>
          <w:sz w:val="28"/>
          <w:szCs w:val="28"/>
        </w:rPr>
      </w:pPr>
      <w:r>
        <w:rPr>
          <w:sz w:val="28"/>
          <w:szCs w:val="28"/>
        </w:rPr>
        <w:t>В 2020 году ожидается значительное уменьшение объема налоговых и неналоговых доходов. На снижение налоговых доходов окажут влияние принимаемые меры по изменению сроков уплаты платежей для субъектов малого и среднего предпринимательства.</w:t>
      </w:r>
    </w:p>
    <w:p w:rsidR="00624886" w:rsidRDefault="00624886" w:rsidP="00624886">
      <w:pPr>
        <w:autoSpaceDE w:val="0"/>
        <w:autoSpaceDN w:val="0"/>
        <w:adjustRightInd w:val="0"/>
        <w:ind w:firstLine="567"/>
        <w:jc w:val="both"/>
        <w:rPr>
          <w:sz w:val="28"/>
          <w:szCs w:val="28"/>
        </w:rPr>
      </w:pPr>
      <w:proofErr w:type="gramStart"/>
      <w:r>
        <w:rPr>
          <w:sz w:val="28"/>
          <w:szCs w:val="28"/>
        </w:rPr>
        <w:t xml:space="preserve">Постановлением Правительства Российской Федерации от 2 апреля 2020 №409 «О мерах по обеспечению устойчивого развития экономики» для субъектов малого и среднего предпринимательства, ведущих деятельность в отраслях российской экономики, в наибольшей степени пострадавших, в том числе в результате распространения новой </w:t>
      </w:r>
      <w:proofErr w:type="spellStart"/>
      <w:r>
        <w:rPr>
          <w:sz w:val="28"/>
          <w:szCs w:val="28"/>
        </w:rPr>
        <w:t>короновирусной</w:t>
      </w:r>
      <w:proofErr w:type="spellEnd"/>
      <w:r>
        <w:rPr>
          <w:sz w:val="28"/>
          <w:szCs w:val="28"/>
        </w:rPr>
        <w:t xml:space="preserve"> инфекции </w:t>
      </w:r>
      <w:r>
        <w:rPr>
          <w:sz w:val="28"/>
          <w:szCs w:val="28"/>
          <w:lang w:val="en-US"/>
        </w:rPr>
        <w:t>COVID</w:t>
      </w:r>
      <w:r>
        <w:rPr>
          <w:sz w:val="28"/>
          <w:szCs w:val="28"/>
        </w:rPr>
        <w:t>-19, предусмотрено продление на шесть месяцев срока уплаты единого сельскохозяйственного налога за 2019 год.</w:t>
      </w:r>
      <w:proofErr w:type="gramEnd"/>
      <w:r>
        <w:rPr>
          <w:sz w:val="28"/>
          <w:szCs w:val="28"/>
        </w:rPr>
        <w:t xml:space="preserve"> Перенесен на шесть месяцев срок уплаты по всем налоговым платежам, за исключением налога на добавленную стоимость, за 1 квартал 2020 года и на четыре месяца – за полугодие (2 квартал)2020 года. Сроки уплаты авансовых платежей по земельному налогу за первый квартал 2020 года перенесен на 30 октября 2020 года, за второй квартал – на 30 декабря 2020 года.</w:t>
      </w:r>
    </w:p>
    <w:p w:rsidR="00624886" w:rsidRDefault="00624886" w:rsidP="00624886">
      <w:pPr>
        <w:autoSpaceDE w:val="0"/>
        <w:autoSpaceDN w:val="0"/>
        <w:adjustRightInd w:val="0"/>
        <w:ind w:firstLine="567"/>
        <w:jc w:val="both"/>
        <w:rPr>
          <w:sz w:val="28"/>
          <w:szCs w:val="28"/>
        </w:rPr>
      </w:pPr>
      <w:r>
        <w:rPr>
          <w:sz w:val="28"/>
          <w:szCs w:val="28"/>
        </w:rPr>
        <w:lastRenderedPageBreak/>
        <w:t>Согласно вышеуказанному постановлению не будут применяться налоговые санкции за налоговые правонарушения, совершенные в период с 1 марта до 31 мая 2020 года включительно.</w:t>
      </w:r>
    </w:p>
    <w:p w:rsidR="00624886" w:rsidRDefault="00624886" w:rsidP="00624886">
      <w:pPr>
        <w:autoSpaceDE w:val="0"/>
        <w:autoSpaceDN w:val="0"/>
        <w:adjustRightInd w:val="0"/>
        <w:ind w:firstLine="567"/>
        <w:jc w:val="both"/>
        <w:rPr>
          <w:sz w:val="28"/>
          <w:szCs w:val="28"/>
        </w:rPr>
      </w:pPr>
      <w:proofErr w:type="gramStart"/>
      <w:r>
        <w:rPr>
          <w:sz w:val="28"/>
          <w:szCs w:val="28"/>
        </w:rPr>
        <w:t xml:space="preserve">Указом Президента Российской Федерации от 2 апреля 2020 года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Pr>
          <w:sz w:val="28"/>
          <w:szCs w:val="28"/>
        </w:rPr>
        <w:t>короновирусной</w:t>
      </w:r>
      <w:proofErr w:type="spellEnd"/>
      <w:r>
        <w:rPr>
          <w:sz w:val="28"/>
          <w:szCs w:val="28"/>
        </w:rPr>
        <w:t xml:space="preserve"> инфекции (</w:t>
      </w:r>
      <w:r>
        <w:rPr>
          <w:sz w:val="28"/>
          <w:szCs w:val="28"/>
          <w:lang w:val="en-US"/>
        </w:rPr>
        <w:t>COVID</w:t>
      </w:r>
      <w:r>
        <w:rPr>
          <w:sz w:val="28"/>
          <w:szCs w:val="28"/>
        </w:rPr>
        <w:t>-19)» приостановлены меры взыскания налоговыми органами задолженности и соответствующих обеспечительных мер, установленных Налоговым Кодексом Российской Федерации, до 30 апреля 2020 года (включительно) в отношении всех  налогоплательщиков - юридических лиц и индивидуальных предпринимателей.</w:t>
      </w:r>
      <w:proofErr w:type="gramEnd"/>
    </w:p>
    <w:p w:rsidR="00624886" w:rsidRDefault="00624886" w:rsidP="00624886">
      <w:pPr>
        <w:autoSpaceDE w:val="0"/>
        <w:autoSpaceDN w:val="0"/>
        <w:adjustRightInd w:val="0"/>
        <w:ind w:firstLine="567"/>
        <w:jc w:val="both"/>
        <w:rPr>
          <w:sz w:val="28"/>
          <w:szCs w:val="28"/>
        </w:rPr>
      </w:pPr>
      <w:proofErr w:type="gramStart"/>
      <w:r>
        <w:rPr>
          <w:sz w:val="28"/>
          <w:szCs w:val="28"/>
        </w:rPr>
        <w:t xml:space="preserve">Постановлением Правительства Российской Федерации от 3 апреля 2020 №428 «О введении моратория на возбуждение дел о банкротстве по заявлению кредиторов в отношении отдельных должников» введен на 6 месяцев мораторий на возбуждение дел индивидуальных предпринимателей, осуществляющих деятельность в сферах, наиболее пострадавших в условиях ухудшения ситуации в связи с распространением новой </w:t>
      </w:r>
      <w:proofErr w:type="spellStart"/>
      <w:r>
        <w:rPr>
          <w:sz w:val="28"/>
          <w:szCs w:val="28"/>
        </w:rPr>
        <w:t>короновирусной</w:t>
      </w:r>
      <w:proofErr w:type="spellEnd"/>
      <w:r>
        <w:rPr>
          <w:sz w:val="28"/>
          <w:szCs w:val="28"/>
        </w:rPr>
        <w:t xml:space="preserve"> инфекции.</w:t>
      </w:r>
      <w:proofErr w:type="gramEnd"/>
    </w:p>
    <w:p w:rsidR="00624886" w:rsidRDefault="00624886" w:rsidP="00624886">
      <w:pPr>
        <w:autoSpaceDE w:val="0"/>
        <w:autoSpaceDN w:val="0"/>
        <w:adjustRightInd w:val="0"/>
        <w:ind w:firstLine="567"/>
        <w:jc w:val="both"/>
        <w:rPr>
          <w:sz w:val="28"/>
          <w:szCs w:val="28"/>
        </w:rPr>
      </w:pPr>
      <w:proofErr w:type="gramStart"/>
      <w:r>
        <w:rPr>
          <w:sz w:val="28"/>
          <w:szCs w:val="28"/>
        </w:rPr>
        <w:t>В целях поддержки малого и среднего предпринимательства в сложных экономических условиях принят Закон области от 9 июня 2020 №48-ОЗ «О приостановлении действия отдельных положений законодательных актов Владимирской области и установлении в 2020 году особенностей применения на территории Владимирской области патентной системы налогообложения, упрощенной системы налогообложения, уплаты транспортного налога и налога на имущество организаций в целях предоставления поддержки отраслям экономики во</w:t>
      </w:r>
      <w:proofErr w:type="gramEnd"/>
      <w:r>
        <w:rPr>
          <w:sz w:val="28"/>
          <w:szCs w:val="28"/>
        </w:rPr>
        <w:t xml:space="preserve"> Владимирской области, наиболее пострадавшим от распространения новой </w:t>
      </w:r>
      <w:proofErr w:type="spellStart"/>
      <w:r>
        <w:rPr>
          <w:sz w:val="28"/>
          <w:szCs w:val="28"/>
        </w:rPr>
        <w:t>короновирусной</w:t>
      </w:r>
      <w:proofErr w:type="spellEnd"/>
      <w:r>
        <w:rPr>
          <w:sz w:val="28"/>
          <w:szCs w:val="28"/>
        </w:rPr>
        <w:t xml:space="preserve"> инфекции», предусматривающей:</w:t>
      </w:r>
    </w:p>
    <w:p w:rsidR="00624886" w:rsidRDefault="00624886" w:rsidP="00624886">
      <w:pPr>
        <w:autoSpaceDE w:val="0"/>
        <w:autoSpaceDN w:val="0"/>
        <w:adjustRightInd w:val="0"/>
        <w:ind w:firstLine="567"/>
        <w:jc w:val="both"/>
        <w:rPr>
          <w:sz w:val="28"/>
          <w:szCs w:val="28"/>
        </w:rPr>
      </w:pPr>
      <w:r>
        <w:rPr>
          <w:sz w:val="28"/>
          <w:szCs w:val="28"/>
        </w:rPr>
        <w:t>- снижение ставок налога, взимаемого по упрощенной системе налогообложения, до 2% для предпринимателей, у которых налогооблагаемой базой являются доходы, до 5% - для предпринимателей, у которых налогооблагаемой базой являются доходы, уменьшенные на величину расходов.</w:t>
      </w:r>
    </w:p>
    <w:p w:rsidR="00D15AA3" w:rsidRDefault="00D15AA3" w:rsidP="000D709F">
      <w:pPr>
        <w:pStyle w:val="ConsPlusNormal"/>
        <w:ind w:firstLine="0"/>
        <w:rPr>
          <w:rFonts w:ascii="Times New Roman" w:hAnsi="Times New Roman" w:cs="Times New Roman"/>
          <w:b/>
          <w:i/>
          <w:sz w:val="28"/>
          <w:szCs w:val="28"/>
        </w:rPr>
      </w:pPr>
    </w:p>
    <w:p w:rsidR="00446924" w:rsidRDefault="00446924" w:rsidP="00446924">
      <w:pPr>
        <w:autoSpaceDE w:val="0"/>
        <w:autoSpaceDN w:val="0"/>
        <w:adjustRightInd w:val="0"/>
        <w:jc w:val="center"/>
        <w:rPr>
          <w:b/>
          <w:sz w:val="28"/>
          <w:szCs w:val="28"/>
        </w:rPr>
      </w:pPr>
      <w:r>
        <w:rPr>
          <w:b/>
          <w:sz w:val="28"/>
          <w:szCs w:val="28"/>
        </w:rPr>
        <w:t>2.Основные направления налоговой политики района на 2021-2023 годы</w:t>
      </w:r>
    </w:p>
    <w:p w:rsidR="00446924" w:rsidRDefault="00446924" w:rsidP="00446924">
      <w:pPr>
        <w:autoSpaceDE w:val="0"/>
        <w:autoSpaceDN w:val="0"/>
        <w:adjustRightInd w:val="0"/>
        <w:rPr>
          <w:b/>
          <w:sz w:val="28"/>
          <w:szCs w:val="28"/>
        </w:rPr>
      </w:pPr>
    </w:p>
    <w:p w:rsidR="00446924" w:rsidRDefault="000D709F" w:rsidP="00446924">
      <w:pPr>
        <w:autoSpaceDE w:val="0"/>
        <w:autoSpaceDN w:val="0"/>
        <w:adjustRightInd w:val="0"/>
        <w:ind w:firstLine="567"/>
        <w:jc w:val="both"/>
        <w:rPr>
          <w:sz w:val="28"/>
          <w:szCs w:val="28"/>
        </w:rPr>
      </w:pPr>
      <w:r>
        <w:rPr>
          <w:sz w:val="28"/>
          <w:szCs w:val="28"/>
        </w:rPr>
        <w:t>Налоговая политика города</w:t>
      </w:r>
      <w:r w:rsidR="00446924">
        <w:rPr>
          <w:sz w:val="28"/>
          <w:szCs w:val="28"/>
        </w:rPr>
        <w:t xml:space="preserve"> в 2021 году и на плановый период до 2023 года ориентирована на мобилизацию собственных доходов на основе экономического</w:t>
      </w:r>
      <w:r w:rsidR="00446924">
        <w:rPr>
          <w:b/>
          <w:sz w:val="28"/>
          <w:szCs w:val="28"/>
        </w:rPr>
        <w:t xml:space="preserve"> </w:t>
      </w:r>
      <w:r w:rsidR="00446924">
        <w:rPr>
          <w:sz w:val="28"/>
          <w:szCs w:val="28"/>
        </w:rPr>
        <w:t>роста и развития доходного потенциала.</w:t>
      </w:r>
    </w:p>
    <w:p w:rsidR="00446924" w:rsidRDefault="00446924" w:rsidP="00446924">
      <w:pPr>
        <w:autoSpaceDE w:val="0"/>
        <w:autoSpaceDN w:val="0"/>
        <w:adjustRightInd w:val="0"/>
        <w:ind w:firstLine="567"/>
        <w:jc w:val="both"/>
        <w:rPr>
          <w:sz w:val="28"/>
          <w:szCs w:val="28"/>
        </w:rPr>
      </w:pPr>
      <w:r>
        <w:rPr>
          <w:sz w:val="28"/>
          <w:szCs w:val="28"/>
        </w:rPr>
        <w:t>Основными задачами в трехлетней перспективе являются:</w:t>
      </w:r>
    </w:p>
    <w:p w:rsidR="00446924" w:rsidRDefault="00446924" w:rsidP="00446924">
      <w:pPr>
        <w:autoSpaceDE w:val="0"/>
        <w:autoSpaceDN w:val="0"/>
        <w:adjustRightInd w:val="0"/>
        <w:ind w:firstLine="567"/>
        <w:jc w:val="both"/>
        <w:rPr>
          <w:sz w:val="28"/>
          <w:szCs w:val="28"/>
        </w:rPr>
      </w:pPr>
      <w:r>
        <w:rPr>
          <w:sz w:val="28"/>
          <w:szCs w:val="28"/>
        </w:rPr>
        <w:t>- повышение реалистичности прогнозирования и минимизация рисков несбалансированности при бюджетном планировании;</w:t>
      </w:r>
    </w:p>
    <w:p w:rsidR="00446924" w:rsidRDefault="00446924" w:rsidP="00446924">
      <w:pPr>
        <w:autoSpaceDE w:val="0"/>
        <w:autoSpaceDN w:val="0"/>
        <w:adjustRightInd w:val="0"/>
        <w:ind w:firstLine="567"/>
        <w:jc w:val="both"/>
        <w:rPr>
          <w:sz w:val="28"/>
          <w:szCs w:val="28"/>
        </w:rPr>
      </w:pPr>
      <w:r>
        <w:rPr>
          <w:sz w:val="28"/>
          <w:szCs w:val="28"/>
        </w:rPr>
        <w:t>- укрепление доходной ба</w:t>
      </w:r>
      <w:r w:rsidR="000D709F">
        <w:rPr>
          <w:sz w:val="28"/>
          <w:szCs w:val="28"/>
        </w:rPr>
        <w:t>зы бюджета города</w:t>
      </w:r>
      <w:r>
        <w:rPr>
          <w:sz w:val="28"/>
          <w:szCs w:val="28"/>
        </w:rPr>
        <w:t xml:space="preserve"> за счет наращивания стабильных доходных источников и мобилизации в бюджет имеющихся резервов;</w:t>
      </w:r>
    </w:p>
    <w:p w:rsidR="00446924" w:rsidRDefault="00446924" w:rsidP="00446924">
      <w:pPr>
        <w:autoSpaceDE w:val="0"/>
        <w:autoSpaceDN w:val="0"/>
        <w:adjustRightInd w:val="0"/>
        <w:ind w:firstLine="567"/>
        <w:jc w:val="both"/>
        <w:rPr>
          <w:sz w:val="28"/>
          <w:szCs w:val="28"/>
        </w:rPr>
      </w:pPr>
      <w:r>
        <w:rPr>
          <w:sz w:val="28"/>
          <w:szCs w:val="28"/>
        </w:rPr>
        <w:t>- стимулирова</w:t>
      </w:r>
      <w:r w:rsidR="000D709F">
        <w:rPr>
          <w:sz w:val="28"/>
          <w:szCs w:val="28"/>
        </w:rPr>
        <w:t>ние инвестиционной деятельности.</w:t>
      </w:r>
    </w:p>
    <w:p w:rsidR="00446924" w:rsidRDefault="00446924" w:rsidP="00446924">
      <w:pPr>
        <w:autoSpaceDE w:val="0"/>
        <w:autoSpaceDN w:val="0"/>
        <w:adjustRightInd w:val="0"/>
        <w:ind w:firstLine="567"/>
        <w:jc w:val="both"/>
        <w:rPr>
          <w:sz w:val="28"/>
          <w:szCs w:val="28"/>
        </w:rPr>
      </w:pPr>
      <w:r>
        <w:rPr>
          <w:sz w:val="28"/>
          <w:szCs w:val="28"/>
        </w:rPr>
        <w:t>В 2021-2023 годах будут продолжены мероприятия, намеченные ранее на среднесрочную перспективу. Основными направлениями, по которым предполагается реализовать  налоговую политику, являются:</w:t>
      </w:r>
    </w:p>
    <w:p w:rsidR="00446924" w:rsidRDefault="00446924" w:rsidP="00446924">
      <w:pPr>
        <w:autoSpaceDE w:val="0"/>
        <w:autoSpaceDN w:val="0"/>
        <w:adjustRightInd w:val="0"/>
        <w:ind w:firstLine="567"/>
        <w:jc w:val="both"/>
        <w:rPr>
          <w:sz w:val="28"/>
          <w:szCs w:val="28"/>
        </w:rPr>
      </w:pPr>
      <w:r>
        <w:rPr>
          <w:sz w:val="28"/>
          <w:szCs w:val="28"/>
        </w:rPr>
        <w:t>- создание благоприятных условий для расширения производства, новых рабочих мест, инвестиционной активности;</w:t>
      </w:r>
    </w:p>
    <w:p w:rsidR="00446924" w:rsidRDefault="00446924" w:rsidP="00446924">
      <w:pPr>
        <w:autoSpaceDE w:val="0"/>
        <w:autoSpaceDN w:val="0"/>
        <w:adjustRightInd w:val="0"/>
        <w:ind w:firstLine="567"/>
        <w:jc w:val="both"/>
        <w:rPr>
          <w:sz w:val="28"/>
          <w:szCs w:val="28"/>
        </w:rPr>
      </w:pPr>
      <w:r>
        <w:rPr>
          <w:sz w:val="28"/>
          <w:szCs w:val="28"/>
        </w:rPr>
        <w:t>- осуществление содействия малому бизнесу для развития предпринимательской деятельности;</w:t>
      </w:r>
    </w:p>
    <w:p w:rsidR="00446924" w:rsidRDefault="00446924" w:rsidP="00446924">
      <w:pPr>
        <w:autoSpaceDE w:val="0"/>
        <w:autoSpaceDN w:val="0"/>
        <w:adjustRightInd w:val="0"/>
        <w:ind w:firstLine="567"/>
        <w:jc w:val="both"/>
        <w:rPr>
          <w:sz w:val="28"/>
          <w:szCs w:val="28"/>
        </w:rPr>
      </w:pPr>
      <w:r>
        <w:rPr>
          <w:sz w:val="28"/>
          <w:szCs w:val="28"/>
        </w:rPr>
        <w:lastRenderedPageBreak/>
        <w:t>- выявление и пресечение схем минимизации налогов, совершенствование методов контроля легализации «теневой» заработной платы;</w:t>
      </w:r>
    </w:p>
    <w:p w:rsidR="00446924" w:rsidRDefault="00446924" w:rsidP="00446924">
      <w:pPr>
        <w:autoSpaceDE w:val="0"/>
        <w:autoSpaceDN w:val="0"/>
        <w:adjustRightInd w:val="0"/>
        <w:ind w:firstLine="567"/>
        <w:jc w:val="both"/>
        <w:rPr>
          <w:sz w:val="28"/>
          <w:szCs w:val="28"/>
        </w:rPr>
      </w:pPr>
      <w:r>
        <w:rPr>
          <w:sz w:val="28"/>
          <w:szCs w:val="28"/>
        </w:rPr>
        <w:t>- совершенствование методов налогового администрирования, повышение уровня ответственности главных администраторов доходов за выполнением плановых показателей поступления доходов</w:t>
      </w:r>
      <w:r w:rsidR="000D709F">
        <w:rPr>
          <w:sz w:val="28"/>
          <w:szCs w:val="28"/>
        </w:rPr>
        <w:t xml:space="preserve"> в бюджет города</w:t>
      </w:r>
      <w:r>
        <w:rPr>
          <w:sz w:val="28"/>
          <w:szCs w:val="28"/>
        </w:rPr>
        <w:t>;</w:t>
      </w:r>
    </w:p>
    <w:p w:rsidR="00446924" w:rsidRDefault="00446924" w:rsidP="00446924">
      <w:pPr>
        <w:autoSpaceDE w:val="0"/>
        <w:autoSpaceDN w:val="0"/>
        <w:adjustRightInd w:val="0"/>
        <w:ind w:firstLine="567"/>
        <w:jc w:val="both"/>
        <w:rPr>
          <w:sz w:val="28"/>
          <w:szCs w:val="28"/>
        </w:rPr>
      </w:pPr>
      <w:r>
        <w:rPr>
          <w:sz w:val="28"/>
          <w:szCs w:val="28"/>
        </w:rPr>
        <w:t>- усиление работы администраторо</w:t>
      </w:r>
      <w:r w:rsidR="000D709F">
        <w:rPr>
          <w:sz w:val="28"/>
          <w:szCs w:val="28"/>
        </w:rPr>
        <w:t>в по неплатежам в бюджеты города</w:t>
      </w:r>
      <w:r>
        <w:rPr>
          <w:sz w:val="28"/>
          <w:szCs w:val="28"/>
        </w:rPr>
        <w:t>;</w:t>
      </w:r>
    </w:p>
    <w:p w:rsidR="00446924" w:rsidRDefault="00446924" w:rsidP="00446924">
      <w:pPr>
        <w:autoSpaceDE w:val="0"/>
        <w:autoSpaceDN w:val="0"/>
        <w:adjustRightInd w:val="0"/>
        <w:ind w:firstLine="567"/>
        <w:jc w:val="both"/>
        <w:rPr>
          <w:sz w:val="28"/>
          <w:szCs w:val="28"/>
        </w:rPr>
      </w:pPr>
      <w:r>
        <w:rPr>
          <w:sz w:val="28"/>
          <w:szCs w:val="28"/>
        </w:rPr>
        <w:t>- проведение оценки социальной и бюджетной эффективности местных налоговых льгот и отмены неэффективных налоговых льгот;</w:t>
      </w:r>
    </w:p>
    <w:p w:rsidR="00446924" w:rsidRDefault="00446924" w:rsidP="00446924">
      <w:pPr>
        <w:autoSpaceDE w:val="0"/>
        <w:autoSpaceDN w:val="0"/>
        <w:adjustRightInd w:val="0"/>
        <w:ind w:firstLine="567"/>
        <w:jc w:val="both"/>
        <w:rPr>
          <w:sz w:val="28"/>
          <w:szCs w:val="28"/>
        </w:rPr>
      </w:pPr>
      <w:r>
        <w:rPr>
          <w:sz w:val="28"/>
          <w:szCs w:val="28"/>
        </w:rPr>
        <w:t>- расширение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w:t>
      </w:r>
    </w:p>
    <w:p w:rsidR="00446924" w:rsidRDefault="00446924" w:rsidP="00446924">
      <w:pPr>
        <w:autoSpaceDE w:val="0"/>
        <w:autoSpaceDN w:val="0"/>
        <w:adjustRightInd w:val="0"/>
        <w:ind w:firstLine="567"/>
        <w:jc w:val="both"/>
        <w:rPr>
          <w:sz w:val="28"/>
          <w:szCs w:val="28"/>
        </w:rPr>
      </w:pPr>
      <w:r>
        <w:rPr>
          <w:sz w:val="28"/>
          <w:szCs w:val="28"/>
        </w:rPr>
        <w:t>-  совершенствование управления муниципальной собственностью путем:</w:t>
      </w:r>
    </w:p>
    <w:p w:rsidR="00446924" w:rsidRDefault="00446924" w:rsidP="00446924">
      <w:pPr>
        <w:autoSpaceDE w:val="0"/>
        <w:autoSpaceDN w:val="0"/>
        <w:adjustRightInd w:val="0"/>
        <w:ind w:firstLine="567"/>
        <w:jc w:val="both"/>
        <w:rPr>
          <w:sz w:val="28"/>
          <w:szCs w:val="28"/>
        </w:rPr>
      </w:pPr>
      <w:r>
        <w:rPr>
          <w:sz w:val="28"/>
          <w:szCs w:val="28"/>
        </w:rPr>
        <w:t>а) повышения эффективности управления муниципальным имуществом и земельными участками;</w:t>
      </w:r>
    </w:p>
    <w:p w:rsidR="00446924" w:rsidRDefault="00446924" w:rsidP="00446924">
      <w:pPr>
        <w:autoSpaceDE w:val="0"/>
        <w:autoSpaceDN w:val="0"/>
        <w:adjustRightInd w:val="0"/>
        <w:ind w:firstLine="567"/>
        <w:jc w:val="both"/>
        <w:rPr>
          <w:sz w:val="28"/>
          <w:szCs w:val="28"/>
        </w:rPr>
      </w:pPr>
      <w:r>
        <w:rPr>
          <w:sz w:val="28"/>
          <w:szCs w:val="28"/>
        </w:rPr>
        <w:t>б)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446924" w:rsidRDefault="00446924" w:rsidP="00446924">
      <w:pPr>
        <w:autoSpaceDE w:val="0"/>
        <w:autoSpaceDN w:val="0"/>
        <w:adjustRightInd w:val="0"/>
        <w:ind w:firstLine="567"/>
        <w:jc w:val="both"/>
        <w:rPr>
          <w:sz w:val="28"/>
          <w:szCs w:val="28"/>
        </w:rPr>
      </w:pPr>
      <w:r>
        <w:rPr>
          <w:sz w:val="28"/>
          <w:szCs w:val="28"/>
        </w:rPr>
        <w:t>в) осуществления продажи имущества, находящегося в муниципальной собственности, с максимальной выгодой;</w:t>
      </w:r>
    </w:p>
    <w:p w:rsidR="00446924" w:rsidRDefault="00446924" w:rsidP="00446924">
      <w:pPr>
        <w:autoSpaceDE w:val="0"/>
        <w:autoSpaceDN w:val="0"/>
        <w:adjustRightInd w:val="0"/>
        <w:ind w:firstLine="567"/>
        <w:jc w:val="both"/>
        <w:rPr>
          <w:sz w:val="28"/>
          <w:szCs w:val="28"/>
        </w:rPr>
      </w:pPr>
      <w:r>
        <w:rPr>
          <w:sz w:val="28"/>
          <w:szCs w:val="28"/>
        </w:rPr>
        <w:t>г) обеспечения надлежащего контроля над деятельностью руководителей муниципальных унитарных предприятий и учреждений.</w:t>
      </w:r>
    </w:p>
    <w:p w:rsidR="00446924" w:rsidRDefault="00446924" w:rsidP="00446924">
      <w:pPr>
        <w:autoSpaceDE w:val="0"/>
        <w:autoSpaceDN w:val="0"/>
        <w:adjustRightInd w:val="0"/>
        <w:ind w:firstLine="567"/>
        <w:jc w:val="both"/>
        <w:rPr>
          <w:sz w:val="28"/>
          <w:szCs w:val="28"/>
        </w:rPr>
      </w:pPr>
      <w:r>
        <w:rPr>
          <w:sz w:val="28"/>
          <w:szCs w:val="28"/>
        </w:rPr>
        <w:t>Организация взаимодействия с органам</w:t>
      </w:r>
      <w:r w:rsidR="000D709F">
        <w:rPr>
          <w:sz w:val="28"/>
          <w:szCs w:val="28"/>
        </w:rPr>
        <w:t>и местного самоуправления города</w:t>
      </w:r>
      <w:r>
        <w:rPr>
          <w:sz w:val="28"/>
          <w:szCs w:val="28"/>
        </w:rPr>
        <w:t xml:space="preserve"> по моби</w:t>
      </w:r>
      <w:r w:rsidR="000D709F">
        <w:rPr>
          <w:sz w:val="28"/>
          <w:szCs w:val="28"/>
        </w:rPr>
        <w:t>лизации доходов в бюджеты города</w:t>
      </w:r>
      <w:r>
        <w:rPr>
          <w:sz w:val="28"/>
          <w:szCs w:val="28"/>
        </w:rPr>
        <w:t xml:space="preserve"> будет осуществляться в рамках деятельности межведомственной рабочей группы по платежам в бюджет и легализации объектов налогообложения. </w:t>
      </w:r>
    </w:p>
    <w:p w:rsidR="00446924" w:rsidRDefault="00446924" w:rsidP="00446924">
      <w:pPr>
        <w:autoSpaceDE w:val="0"/>
        <w:autoSpaceDN w:val="0"/>
        <w:adjustRightInd w:val="0"/>
        <w:ind w:firstLine="567"/>
        <w:jc w:val="both"/>
        <w:rPr>
          <w:sz w:val="28"/>
          <w:szCs w:val="28"/>
        </w:rPr>
      </w:pPr>
      <w:r>
        <w:rPr>
          <w:sz w:val="28"/>
          <w:szCs w:val="28"/>
        </w:rPr>
        <w:t>При формировании основных напра</w:t>
      </w:r>
      <w:r w:rsidR="000D709F">
        <w:rPr>
          <w:sz w:val="28"/>
          <w:szCs w:val="28"/>
        </w:rPr>
        <w:t>влений налоговой политики города</w:t>
      </w:r>
      <w:r>
        <w:rPr>
          <w:sz w:val="28"/>
          <w:szCs w:val="28"/>
        </w:rPr>
        <w:t xml:space="preserve"> учтены изменения в налоговое и бюджетное законодательство, вносимые и планируемые к принятию на  федеральном уровне:</w:t>
      </w:r>
    </w:p>
    <w:p w:rsidR="00446924" w:rsidRDefault="00446924" w:rsidP="00446924">
      <w:pPr>
        <w:autoSpaceDE w:val="0"/>
        <w:autoSpaceDN w:val="0"/>
        <w:adjustRightInd w:val="0"/>
        <w:ind w:firstLine="567"/>
        <w:jc w:val="both"/>
        <w:rPr>
          <w:sz w:val="28"/>
          <w:szCs w:val="28"/>
        </w:rPr>
      </w:pPr>
      <w:r>
        <w:rPr>
          <w:sz w:val="28"/>
        </w:rPr>
        <w:t>- с 1 января 2021 года отменяется предоставление организациями деклараций в налоговые органы по транспортному и земельному налогу (</w:t>
      </w:r>
      <w:r>
        <w:rPr>
          <w:sz w:val="28"/>
          <w:szCs w:val="28"/>
        </w:rPr>
        <w:t>Федеральный закон от 15 апреля 2019 года №63-ФЗ).</w:t>
      </w:r>
    </w:p>
    <w:p w:rsidR="00446924" w:rsidRPr="000D709F" w:rsidRDefault="00446924" w:rsidP="00446924">
      <w:pPr>
        <w:autoSpaceDE w:val="0"/>
        <w:autoSpaceDN w:val="0"/>
        <w:adjustRightInd w:val="0"/>
        <w:jc w:val="both"/>
        <w:rPr>
          <w:sz w:val="28"/>
          <w:szCs w:val="20"/>
          <w:highlight w:val="yellow"/>
        </w:rPr>
      </w:pPr>
      <w:r>
        <w:rPr>
          <w:sz w:val="28"/>
          <w:highlight w:val="yellow"/>
        </w:rPr>
        <w:t xml:space="preserve">        </w:t>
      </w:r>
    </w:p>
    <w:p w:rsidR="00446924" w:rsidRDefault="00446924" w:rsidP="00446924">
      <w:pPr>
        <w:autoSpaceDE w:val="0"/>
        <w:autoSpaceDN w:val="0"/>
        <w:adjustRightInd w:val="0"/>
        <w:jc w:val="center"/>
        <w:rPr>
          <w:sz w:val="28"/>
          <w:szCs w:val="28"/>
        </w:rPr>
      </w:pPr>
      <w:r>
        <w:rPr>
          <w:b/>
          <w:sz w:val="28"/>
          <w:szCs w:val="28"/>
        </w:rPr>
        <w:t>3. Основные параметры налоговых и неналоговых до</w:t>
      </w:r>
      <w:r w:rsidR="000D709F">
        <w:rPr>
          <w:b/>
          <w:sz w:val="28"/>
          <w:szCs w:val="28"/>
        </w:rPr>
        <w:t>ходов бюджета города Киржач</w:t>
      </w:r>
      <w:r>
        <w:rPr>
          <w:b/>
          <w:sz w:val="28"/>
          <w:szCs w:val="28"/>
        </w:rPr>
        <w:t xml:space="preserve"> на 2021-2023 годы</w:t>
      </w:r>
    </w:p>
    <w:p w:rsidR="00446924" w:rsidRDefault="00446924" w:rsidP="00446924">
      <w:pPr>
        <w:autoSpaceDE w:val="0"/>
        <w:autoSpaceDN w:val="0"/>
        <w:adjustRightInd w:val="0"/>
        <w:ind w:firstLine="540"/>
        <w:jc w:val="both"/>
        <w:rPr>
          <w:sz w:val="28"/>
          <w:szCs w:val="28"/>
        </w:rPr>
      </w:pPr>
    </w:p>
    <w:p w:rsidR="00446924" w:rsidRDefault="00446924" w:rsidP="00446924">
      <w:pPr>
        <w:autoSpaceDE w:val="0"/>
        <w:autoSpaceDN w:val="0"/>
        <w:adjustRightInd w:val="0"/>
        <w:ind w:firstLine="540"/>
        <w:jc w:val="both"/>
        <w:rPr>
          <w:sz w:val="28"/>
          <w:szCs w:val="28"/>
        </w:rPr>
      </w:pPr>
      <w:r>
        <w:rPr>
          <w:sz w:val="28"/>
          <w:szCs w:val="28"/>
        </w:rPr>
        <w:t>Основные направления налоговой политики</w:t>
      </w:r>
      <w:r w:rsidR="00E31FB1">
        <w:rPr>
          <w:sz w:val="28"/>
          <w:szCs w:val="28"/>
        </w:rPr>
        <w:t xml:space="preserve"> города Киржач </w:t>
      </w:r>
      <w:r>
        <w:rPr>
          <w:sz w:val="28"/>
          <w:szCs w:val="28"/>
        </w:rPr>
        <w:t xml:space="preserve"> </w:t>
      </w:r>
      <w:proofErr w:type="spellStart"/>
      <w:r>
        <w:rPr>
          <w:sz w:val="28"/>
          <w:szCs w:val="28"/>
        </w:rPr>
        <w:t>Киржачского</w:t>
      </w:r>
      <w:proofErr w:type="spellEnd"/>
      <w:r>
        <w:rPr>
          <w:sz w:val="28"/>
          <w:szCs w:val="28"/>
        </w:rPr>
        <w:t xml:space="preserve"> района определяют </w:t>
      </w:r>
      <w:r w:rsidR="00E31FB1">
        <w:rPr>
          <w:sz w:val="28"/>
          <w:szCs w:val="28"/>
        </w:rPr>
        <w:t xml:space="preserve">параметры доходов </w:t>
      </w:r>
      <w:r>
        <w:rPr>
          <w:sz w:val="28"/>
          <w:szCs w:val="28"/>
        </w:rPr>
        <w:t xml:space="preserve">  </w:t>
      </w:r>
      <w:r w:rsidR="00E31FB1">
        <w:rPr>
          <w:sz w:val="28"/>
          <w:szCs w:val="28"/>
        </w:rPr>
        <w:t xml:space="preserve">бюджета города </w:t>
      </w:r>
      <w:r>
        <w:rPr>
          <w:sz w:val="28"/>
          <w:szCs w:val="28"/>
        </w:rPr>
        <w:t>на 2021-2023 годы (таблица 1).</w:t>
      </w:r>
    </w:p>
    <w:p w:rsidR="00446924" w:rsidRDefault="00446924" w:rsidP="00446924">
      <w:pPr>
        <w:jc w:val="right"/>
        <w:rPr>
          <w:sz w:val="28"/>
          <w:szCs w:val="28"/>
        </w:rPr>
      </w:pPr>
      <w:r>
        <w:rPr>
          <w:sz w:val="28"/>
          <w:szCs w:val="28"/>
        </w:rPr>
        <w:t xml:space="preserve">                                                                                                                    Таблица 1</w:t>
      </w:r>
    </w:p>
    <w:p w:rsidR="00446924" w:rsidRDefault="00446924" w:rsidP="00446924">
      <w:pPr>
        <w:jc w:val="center"/>
        <w:rPr>
          <w:b/>
          <w:sz w:val="28"/>
          <w:szCs w:val="28"/>
        </w:rPr>
      </w:pPr>
      <w:r>
        <w:rPr>
          <w:b/>
          <w:sz w:val="28"/>
          <w:szCs w:val="28"/>
        </w:rPr>
        <w:t xml:space="preserve">Прогноз поступления </w:t>
      </w:r>
      <w:proofErr w:type="gramStart"/>
      <w:r>
        <w:rPr>
          <w:b/>
          <w:sz w:val="28"/>
          <w:szCs w:val="28"/>
        </w:rPr>
        <w:t>налоговых</w:t>
      </w:r>
      <w:proofErr w:type="gramEnd"/>
      <w:r>
        <w:rPr>
          <w:b/>
          <w:sz w:val="28"/>
          <w:szCs w:val="28"/>
        </w:rPr>
        <w:t xml:space="preserve"> и неналоговых </w:t>
      </w:r>
    </w:p>
    <w:p w:rsidR="00446924" w:rsidRDefault="00E31FB1" w:rsidP="00446924">
      <w:pPr>
        <w:jc w:val="center"/>
        <w:rPr>
          <w:b/>
          <w:sz w:val="28"/>
          <w:szCs w:val="28"/>
        </w:rPr>
      </w:pPr>
      <w:r>
        <w:rPr>
          <w:b/>
          <w:sz w:val="28"/>
          <w:szCs w:val="28"/>
        </w:rPr>
        <w:t>доходов  бюджета  города Киржач</w:t>
      </w:r>
    </w:p>
    <w:p w:rsidR="00446924" w:rsidRDefault="00446924" w:rsidP="00446924">
      <w:pPr>
        <w:jc w:val="center"/>
        <w:rPr>
          <w:b/>
          <w:sz w:val="28"/>
          <w:szCs w:val="28"/>
        </w:rPr>
      </w:pPr>
      <w:r>
        <w:rPr>
          <w:b/>
          <w:sz w:val="28"/>
          <w:szCs w:val="28"/>
        </w:rPr>
        <w:t>на 2020 - 2023 годы</w:t>
      </w:r>
    </w:p>
    <w:p w:rsidR="00446924" w:rsidRDefault="00446924" w:rsidP="00446924">
      <w:pPr>
        <w:jc w:val="center"/>
        <w:rPr>
          <w:b/>
          <w:sz w:val="28"/>
          <w:szCs w:val="28"/>
          <w:highlight w:val="yellow"/>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7"/>
        <w:gridCol w:w="1116"/>
        <w:gridCol w:w="1186"/>
        <w:gridCol w:w="1186"/>
        <w:gridCol w:w="1186"/>
      </w:tblGrid>
      <w:tr w:rsidR="00446924" w:rsidTr="00446924">
        <w:trPr>
          <w:trHeight w:val="402"/>
          <w:jc w:val="center"/>
        </w:trPr>
        <w:tc>
          <w:tcPr>
            <w:tcW w:w="5260" w:type="dxa"/>
            <w:tcBorders>
              <w:top w:val="single" w:sz="4" w:space="0" w:color="auto"/>
              <w:left w:val="single" w:sz="4" w:space="0" w:color="auto"/>
              <w:bottom w:val="single" w:sz="4" w:space="0" w:color="auto"/>
              <w:right w:val="single" w:sz="4" w:space="0" w:color="auto"/>
            </w:tcBorders>
            <w:hideMark/>
          </w:tcPr>
          <w:p w:rsidR="00446924" w:rsidRDefault="00446924">
            <w:pPr>
              <w:jc w:val="center"/>
            </w:pPr>
            <w:r>
              <w:t>Показатели</w:t>
            </w:r>
          </w:p>
        </w:tc>
        <w:tc>
          <w:tcPr>
            <w:tcW w:w="1083" w:type="dxa"/>
            <w:tcBorders>
              <w:top w:val="single" w:sz="4" w:space="0" w:color="auto"/>
              <w:left w:val="single" w:sz="4" w:space="0" w:color="auto"/>
              <w:bottom w:val="single" w:sz="4" w:space="0" w:color="auto"/>
              <w:right w:val="single" w:sz="4" w:space="0" w:color="auto"/>
            </w:tcBorders>
            <w:hideMark/>
          </w:tcPr>
          <w:p w:rsidR="00446924" w:rsidRDefault="00446924">
            <w:pPr>
              <w:jc w:val="center"/>
            </w:pPr>
            <w:r>
              <w:t>2020 год (оценка)</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446924">
            <w:pPr>
              <w:jc w:val="center"/>
            </w:pPr>
            <w:r>
              <w:t>2021год (прогноз)</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446924">
            <w:pPr>
              <w:jc w:val="center"/>
            </w:pPr>
            <w:r>
              <w:t>2022 год (прогноз)</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446924">
            <w:pPr>
              <w:jc w:val="center"/>
              <w:rPr>
                <w:highlight w:val="yellow"/>
              </w:rPr>
            </w:pPr>
            <w:r>
              <w:t>2023год (прогноз)</w:t>
            </w:r>
          </w:p>
        </w:tc>
      </w:tr>
      <w:tr w:rsidR="00446924" w:rsidTr="00446924">
        <w:trPr>
          <w:trHeight w:val="690"/>
          <w:jc w:val="center"/>
        </w:trPr>
        <w:tc>
          <w:tcPr>
            <w:tcW w:w="5260" w:type="dxa"/>
            <w:tcBorders>
              <w:top w:val="single" w:sz="4" w:space="0" w:color="auto"/>
              <w:left w:val="single" w:sz="4" w:space="0" w:color="auto"/>
              <w:bottom w:val="single" w:sz="4" w:space="0" w:color="auto"/>
              <w:right w:val="single" w:sz="4" w:space="0" w:color="auto"/>
            </w:tcBorders>
            <w:hideMark/>
          </w:tcPr>
          <w:p w:rsidR="00446924" w:rsidRDefault="00446924">
            <w:pPr>
              <w:jc w:val="both"/>
              <w:rPr>
                <w:bCs/>
              </w:rPr>
            </w:pPr>
            <w:r>
              <w:rPr>
                <w:bCs/>
              </w:rPr>
              <w:t>Налоговые и неналоговые доходы бюджета муниципального района с учетом доходов дорожного фонда, тысяч рублей</w:t>
            </w:r>
          </w:p>
        </w:tc>
        <w:tc>
          <w:tcPr>
            <w:tcW w:w="1083" w:type="dxa"/>
            <w:tcBorders>
              <w:top w:val="single" w:sz="4" w:space="0" w:color="auto"/>
              <w:left w:val="single" w:sz="4" w:space="0" w:color="auto"/>
              <w:bottom w:val="single" w:sz="4" w:space="0" w:color="auto"/>
              <w:right w:val="single" w:sz="4" w:space="0" w:color="auto"/>
            </w:tcBorders>
            <w:hideMark/>
          </w:tcPr>
          <w:p w:rsidR="00B053FA" w:rsidRDefault="00B053FA">
            <w:pPr>
              <w:jc w:val="center"/>
              <w:rPr>
                <w:bCs/>
              </w:rPr>
            </w:pPr>
          </w:p>
          <w:p w:rsidR="00446924" w:rsidRDefault="00B053FA">
            <w:pPr>
              <w:jc w:val="center"/>
              <w:rPr>
                <w:bCs/>
              </w:rPr>
            </w:pPr>
            <w:r>
              <w:rPr>
                <w:bCs/>
              </w:rPr>
              <w:t>144033,1</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446924">
            <w:pPr>
              <w:jc w:val="center"/>
              <w:rPr>
                <w:bCs/>
              </w:rPr>
            </w:pPr>
          </w:p>
          <w:p w:rsidR="00B053FA" w:rsidRDefault="00B053FA">
            <w:pPr>
              <w:jc w:val="center"/>
              <w:rPr>
                <w:bCs/>
              </w:rPr>
            </w:pPr>
            <w:r>
              <w:rPr>
                <w:bCs/>
              </w:rPr>
              <w:t>149949,0</w:t>
            </w:r>
          </w:p>
        </w:tc>
        <w:tc>
          <w:tcPr>
            <w:tcW w:w="1186" w:type="dxa"/>
            <w:tcBorders>
              <w:top w:val="single" w:sz="4" w:space="0" w:color="auto"/>
              <w:left w:val="single" w:sz="4" w:space="0" w:color="auto"/>
              <w:bottom w:val="single" w:sz="4" w:space="0" w:color="auto"/>
              <w:right w:val="single" w:sz="4" w:space="0" w:color="auto"/>
            </w:tcBorders>
            <w:hideMark/>
          </w:tcPr>
          <w:p w:rsidR="00B053FA" w:rsidRDefault="00B053FA">
            <w:pPr>
              <w:jc w:val="center"/>
              <w:rPr>
                <w:bCs/>
              </w:rPr>
            </w:pPr>
          </w:p>
          <w:p w:rsidR="00446924" w:rsidRDefault="00B053FA">
            <w:pPr>
              <w:jc w:val="center"/>
              <w:rPr>
                <w:bCs/>
              </w:rPr>
            </w:pPr>
            <w:r>
              <w:rPr>
                <w:bCs/>
              </w:rPr>
              <w:t>149765,0</w:t>
            </w:r>
          </w:p>
        </w:tc>
        <w:tc>
          <w:tcPr>
            <w:tcW w:w="1186" w:type="dxa"/>
            <w:tcBorders>
              <w:top w:val="single" w:sz="4" w:space="0" w:color="auto"/>
              <w:left w:val="single" w:sz="4" w:space="0" w:color="auto"/>
              <w:bottom w:val="single" w:sz="4" w:space="0" w:color="auto"/>
              <w:right w:val="single" w:sz="4" w:space="0" w:color="auto"/>
            </w:tcBorders>
            <w:hideMark/>
          </w:tcPr>
          <w:p w:rsidR="00B053FA" w:rsidRDefault="00B053FA">
            <w:pPr>
              <w:jc w:val="center"/>
              <w:rPr>
                <w:bCs/>
              </w:rPr>
            </w:pPr>
          </w:p>
          <w:p w:rsidR="00446924" w:rsidRDefault="00B053FA">
            <w:pPr>
              <w:jc w:val="center"/>
              <w:rPr>
                <w:bCs/>
              </w:rPr>
            </w:pPr>
            <w:r>
              <w:rPr>
                <w:bCs/>
              </w:rPr>
              <w:t>154429,0</w:t>
            </w:r>
          </w:p>
        </w:tc>
      </w:tr>
      <w:tr w:rsidR="00446924" w:rsidTr="00446924">
        <w:trPr>
          <w:trHeight w:val="558"/>
          <w:jc w:val="center"/>
        </w:trPr>
        <w:tc>
          <w:tcPr>
            <w:tcW w:w="5260" w:type="dxa"/>
            <w:tcBorders>
              <w:top w:val="single" w:sz="4" w:space="0" w:color="auto"/>
              <w:left w:val="single" w:sz="4" w:space="0" w:color="auto"/>
              <w:bottom w:val="single" w:sz="4" w:space="0" w:color="auto"/>
              <w:right w:val="single" w:sz="4" w:space="0" w:color="auto"/>
            </w:tcBorders>
            <w:hideMark/>
          </w:tcPr>
          <w:p w:rsidR="00446924" w:rsidRDefault="00446924">
            <w:pPr>
              <w:jc w:val="both"/>
            </w:pPr>
            <w:r>
              <w:t xml:space="preserve">% роста (снижения) к соответствующему периоду прошлого года </w:t>
            </w:r>
          </w:p>
        </w:tc>
        <w:tc>
          <w:tcPr>
            <w:tcW w:w="1083" w:type="dxa"/>
            <w:tcBorders>
              <w:top w:val="single" w:sz="4" w:space="0" w:color="auto"/>
              <w:left w:val="single" w:sz="4" w:space="0" w:color="auto"/>
              <w:bottom w:val="single" w:sz="4" w:space="0" w:color="auto"/>
              <w:right w:val="single" w:sz="4" w:space="0" w:color="auto"/>
            </w:tcBorders>
            <w:hideMark/>
          </w:tcPr>
          <w:p w:rsidR="00446924" w:rsidRDefault="00784F65">
            <w:pPr>
              <w:jc w:val="center"/>
            </w:pPr>
            <w:r>
              <w:t>111,2</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784F65">
            <w:pPr>
              <w:jc w:val="center"/>
            </w:pPr>
            <w:r>
              <w:t>104,1</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784F65">
            <w:pPr>
              <w:jc w:val="center"/>
            </w:pPr>
            <w:r>
              <w:t>99,9</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784F65">
            <w:pPr>
              <w:jc w:val="center"/>
            </w:pPr>
            <w:r>
              <w:t>103,1</w:t>
            </w:r>
          </w:p>
        </w:tc>
      </w:tr>
      <w:tr w:rsidR="00446924" w:rsidTr="00446924">
        <w:trPr>
          <w:trHeight w:val="486"/>
          <w:jc w:val="center"/>
        </w:trPr>
        <w:tc>
          <w:tcPr>
            <w:tcW w:w="5260" w:type="dxa"/>
            <w:tcBorders>
              <w:top w:val="single" w:sz="4" w:space="0" w:color="auto"/>
              <w:left w:val="single" w:sz="4" w:space="0" w:color="auto"/>
              <w:bottom w:val="single" w:sz="4" w:space="0" w:color="auto"/>
              <w:right w:val="single" w:sz="4" w:space="0" w:color="auto"/>
            </w:tcBorders>
            <w:hideMark/>
          </w:tcPr>
          <w:p w:rsidR="00446924" w:rsidRDefault="00446924">
            <w:pPr>
              <w:jc w:val="both"/>
            </w:pPr>
            <w:r>
              <w:lastRenderedPageBreak/>
              <w:t>Доходы дорожного фонда, тысяч рублей</w:t>
            </w:r>
          </w:p>
        </w:tc>
        <w:tc>
          <w:tcPr>
            <w:tcW w:w="1083" w:type="dxa"/>
            <w:tcBorders>
              <w:top w:val="single" w:sz="4" w:space="0" w:color="auto"/>
              <w:left w:val="single" w:sz="4" w:space="0" w:color="auto"/>
              <w:bottom w:val="single" w:sz="4" w:space="0" w:color="auto"/>
              <w:right w:val="single" w:sz="4" w:space="0" w:color="auto"/>
            </w:tcBorders>
            <w:hideMark/>
          </w:tcPr>
          <w:p w:rsidR="00446924" w:rsidRDefault="00B053FA">
            <w:pPr>
              <w:jc w:val="center"/>
            </w:pPr>
            <w:r>
              <w:t>5719,1</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B053FA">
            <w:pPr>
              <w:jc w:val="center"/>
            </w:pPr>
            <w:r>
              <w:t>5672,0</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B053FA">
            <w:pPr>
              <w:jc w:val="center"/>
            </w:pPr>
            <w:r>
              <w:t>6051,0</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B053FA">
            <w:pPr>
              <w:jc w:val="center"/>
            </w:pPr>
            <w:r>
              <w:t>6729,0</w:t>
            </w:r>
          </w:p>
        </w:tc>
      </w:tr>
      <w:tr w:rsidR="00446924" w:rsidTr="00446924">
        <w:trPr>
          <w:trHeight w:val="550"/>
          <w:jc w:val="center"/>
        </w:trPr>
        <w:tc>
          <w:tcPr>
            <w:tcW w:w="5260" w:type="dxa"/>
            <w:tcBorders>
              <w:top w:val="single" w:sz="4" w:space="0" w:color="auto"/>
              <w:left w:val="single" w:sz="4" w:space="0" w:color="auto"/>
              <w:bottom w:val="single" w:sz="4" w:space="0" w:color="auto"/>
              <w:right w:val="single" w:sz="4" w:space="0" w:color="auto"/>
            </w:tcBorders>
            <w:hideMark/>
          </w:tcPr>
          <w:p w:rsidR="00446924" w:rsidRDefault="00446924">
            <w:pPr>
              <w:jc w:val="both"/>
            </w:pPr>
            <w:r>
              <w:t xml:space="preserve">% роста (снижения) к соответствующему периоду прошлого года </w:t>
            </w:r>
          </w:p>
        </w:tc>
        <w:tc>
          <w:tcPr>
            <w:tcW w:w="1083" w:type="dxa"/>
            <w:tcBorders>
              <w:top w:val="single" w:sz="4" w:space="0" w:color="auto"/>
              <w:left w:val="single" w:sz="4" w:space="0" w:color="auto"/>
              <w:bottom w:val="single" w:sz="4" w:space="0" w:color="auto"/>
              <w:right w:val="single" w:sz="4" w:space="0" w:color="auto"/>
            </w:tcBorders>
            <w:hideMark/>
          </w:tcPr>
          <w:p w:rsidR="00446924" w:rsidRDefault="00784F65">
            <w:pPr>
              <w:jc w:val="center"/>
            </w:pPr>
            <w:r>
              <w:t>99,6</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784F65">
            <w:pPr>
              <w:jc w:val="center"/>
            </w:pPr>
            <w:r>
              <w:t>99,2</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784F65">
            <w:pPr>
              <w:jc w:val="center"/>
            </w:pPr>
            <w:r>
              <w:t>106,7</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784F65">
            <w:pPr>
              <w:jc w:val="center"/>
            </w:pPr>
            <w:r>
              <w:t>111,2</w:t>
            </w:r>
          </w:p>
        </w:tc>
      </w:tr>
      <w:tr w:rsidR="00446924" w:rsidTr="00446924">
        <w:trPr>
          <w:trHeight w:val="645"/>
          <w:jc w:val="center"/>
        </w:trPr>
        <w:tc>
          <w:tcPr>
            <w:tcW w:w="5260" w:type="dxa"/>
            <w:tcBorders>
              <w:top w:val="single" w:sz="4" w:space="0" w:color="auto"/>
              <w:left w:val="single" w:sz="4" w:space="0" w:color="auto"/>
              <w:bottom w:val="single" w:sz="4" w:space="0" w:color="auto"/>
              <w:right w:val="single" w:sz="4" w:space="0" w:color="auto"/>
            </w:tcBorders>
            <w:hideMark/>
          </w:tcPr>
          <w:p w:rsidR="00446924" w:rsidRDefault="00446924">
            <w:pPr>
              <w:jc w:val="both"/>
            </w:pPr>
            <w:r>
              <w:t>Налоговые и неналоговые доходы бюджета без учета доходов дорожного фонда, тысяч рублей</w:t>
            </w:r>
          </w:p>
        </w:tc>
        <w:tc>
          <w:tcPr>
            <w:tcW w:w="1083" w:type="dxa"/>
            <w:tcBorders>
              <w:top w:val="single" w:sz="4" w:space="0" w:color="auto"/>
              <w:left w:val="single" w:sz="4" w:space="0" w:color="auto"/>
              <w:bottom w:val="single" w:sz="4" w:space="0" w:color="auto"/>
              <w:right w:val="single" w:sz="4" w:space="0" w:color="auto"/>
            </w:tcBorders>
            <w:hideMark/>
          </w:tcPr>
          <w:p w:rsidR="00446924" w:rsidRDefault="00B053FA">
            <w:pPr>
              <w:jc w:val="center"/>
            </w:pPr>
            <w:r>
              <w:t>138314,0</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B053FA">
            <w:pPr>
              <w:jc w:val="center"/>
            </w:pPr>
            <w:r>
              <w:t>144277,0</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B053FA">
            <w:pPr>
              <w:jc w:val="center"/>
            </w:pPr>
            <w:r>
              <w:t>143714,0</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B053FA">
            <w:pPr>
              <w:jc w:val="center"/>
            </w:pPr>
            <w:r>
              <w:t>147700,0</w:t>
            </w:r>
          </w:p>
        </w:tc>
      </w:tr>
      <w:tr w:rsidR="00446924" w:rsidTr="00446924">
        <w:trPr>
          <w:trHeight w:val="630"/>
          <w:jc w:val="center"/>
        </w:trPr>
        <w:tc>
          <w:tcPr>
            <w:tcW w:w="5260" w:type="dxa"/>
            <w:tcBorders>
              <w:top w:val="single" w:sz="4" w:space="0" w:color="auto"/>
              <w:left w:val="single" w:sz="4" w:space="0" w:color="auto"/>
              <w:bottom w:val="single" w:sz="4" w:space="0" w:color="auto"/>
              <w:right w:val="single" w:sz="4" w:space="0" w:color="auto"/>
            </w:tcBorders>
            <w:hideMark/>
          </w:tcPr>
          <w:p w:rsidR="00446924" w:rsidRDefault="00446924">
            <w:pPr>
              <w:jc w:val="both"/>
            </w:pPr>
            <w:r>
              <w:t xml:space="preserve">% роста (снижения) к соответствующему периоду прошлого года </w:t>
            </w:r>
          </w:p>
        </w:tc>
        <w:tc>
          <w:tcPr>
            <w:tcW w:w="1083" w:type="dxa"/>
            <w:tcBorders>
              <w:top w:val="single" w:sz="4" w:space="0" w:color="auto"/>
              <w:left w:val="single" w:sz="4" w:space="0" w:color="auto"/>
              <w:bottom w:val="single" w:sz="4" w:space="0" w:color="auto"/>
              <w:right w:val="single" w:sz="4" w:space="0" w:color="auto"/>
            </w:tcBorders>
            <w:hideMark/>
          </w:tcPr>
          <w:p w:rsidR="00446924" w:rsidRDefault="00784F65">
            <w:pPr>
              <w:jc w:val="center"/>
            </w:pPr>
            <w:r>
              <w:t>111,7</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784F65">
            <w:pPr>
              <w:jc w:val="center"/>
            </w:pPr>
            <w:r>
              <w:t>104,3</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784F65">
            <w:pPr>
              <w:jc w:val="center"/>
            </w:pPr>
            <w:r>
              <w:t>99,6</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784F65">
            <w:pPr>
              <w:jc w:val="center"/>
            </w:pPr>
            <w:r>
              <w:t>102,8</w:t>
            </w:r>
          </w:p>
        </w:tc>
      </w:tr>
    </w:tbl>
    <w:p w:rsidR="00446924" w:rsidRDefault="00446924" w:rsidP="00446924">
      <w:pPr>
        <w:ind w:firstLine="709"/>
        <w:jc w:val="both"/>
        <w:rPr>
          <w:sz w:val="28"/>
          <w:szCs w:val="28"/>
          <w:highlight w:val="yellow"/>
        </w:rPr>
      </w:pPr>
    </w:p>
    <w:p w:rsidR="00446924" w:rsidRDefault="00446924" w:rsidP="00446924">
      <w:pPr>
        <w:ind w:firstLine="567"/>
        <w:jc w:val="both"/>
        <w:rPr>
          <w:sz w:val="28"/>
          <w:szCs w:val="28"/>
        </w:rPr>
      </w:pPr>
      <w:r>
        <w:rPr>
          <w:sz w:val="28"/>
          <w:szCs w:val="28"/>
        </w:rPr>
        <w:t>Налоговые и неналоговые дохо</w:t>
      </w:r>
      <w:r w:rsidR="00A01C82">
        <w:rPr>
          <w:sz w:val="28"/>
          <w:szCs w:val="28"/>
        </w:rPr>
        <w:t>ды бюджета города</w:t>
      </w:r>
      <w:r>
        <w:rPr>
          <w:sz w:val="28"/>
          <w:szCs w:val="28"/>
        </w:rPr>
        <w:t xml:space="preserve"> на 2021-2023 годы сформированы главными администраторами доходов в соответствии с общими требованиями к методике прогнозирования поступлений доходов, утвержденными постановлением Правительства Российской Федерации от 23 июня 2016 г. №574 «Об общих требованиях к методике прогнозирования поступлений доходов в бюджеты бюджетной системы Российской Федерации».</w:t>
      </w:r>
    </w:p>
    <w:p w:rsidR="00446924" w:rsidRDefault="00446924" w:rsidP="00446924">
      <w:pPr>
        <w:ind w:firstLine="567"/>
        <w:jc w:val="both"/>
        <w:rPr>
          <w:sz w:val="28"/>
          <w:szCs w:val="20"/>
        </w:rPr>
      </w:pPr>
      <w:r>
        <w:rPr>
          <w:sz w:val="28"/>
          <w:szCs w:val="28"/>
        </w:rPr>
        <w:t>Поступления налоговых и неналоговых доходов</w:t>
      </w:r>
      <w:r w:rsidR="00A01C82">
        <w:rPr>
          <w:sz w:val="28"/>
        </w:rPr>
        <w:t xml:space="preserve"> бюджета города</w:t>
      </w:r>
      <w:r>
        <w:rPr>
          <w:sz w:val="28"/>
        </w:rPr>
        <w:t xml:space="preserve"> с учетом доходов дорожного фонд</w:t>
      </w:r>
      <w:r w:rsidR="00A01C82">
        <w:rPr>
          <w:sz w:val="28"/>
        </w:rPr>
        <w:t xml:space="preserve">а в 2021 году составят  </w:t>
      </w:r>
      <w:r w:rsidR="00DE4ADB">
        <w:rPr>
          <w:sz w:val="28"/>
        </w:rPr>
        <w:t>149949,0</w:t>
      </w:r>
      <w:r w:rsidR="00A01C82">
        <w:rPr>
          <w:sz w:val="28"/>
        </w:rPr>
        <w:t xml:space="preserve"> тысяч рублей (</w:t>
      </w:r>
      <w:r w:rsidR="00DE4ADB">
        <w:rPr>
          <w:sz w:val="28"/>
        </w:rPr>
        <w:t>104,1</w:t>
      </w:r>
      <w:r>
        <w:rPr>
          <w:sz w:val="28"/>
        </w:rPr>
        <w:t>% к уровню 2020 года). При этом поступление налоговых доходов в 2</w:t>
      </w:r>
      <w:r w:rsidR="00A01C82">
        <w:rPr>
          <w:sz w:val="28"/>
        </w:rPr>
        <w:t xml:space="preserve">021 году составит </w:t>
      </w:r>
      <w:r w:rsidR="00DE4ADB">
        <w:rPr>
          <w:sz w:val="28"/>
        </w:rPr>
        <w:t>137864,0</w:t>
      </w:r>
      <w:r w:rsidR="00A01C82">
        <w:rPr>
          <w:sz w:val="28"/>
        </w:rPr>
        <w:t xml:space="preserve"> тысяч рублей (</w:t>
      </w:r>
      <w:r w:rsidR="00DE4ADB">
        <w:rPr>
          <w:sz w:val="28"/>
        </w:rPr>
        <w:t>105,1</w:t>
      </w:r>
      <w:r>
        <w:rPr>
          <w:sz w:val="28"/>
        </w:rPr>
        <w:t>% к уровню 2020 года)</w:t>
      </w:r>
      <w:r w:rsidR="00A01C82">
        <w:rPr>
          <w:sz w:val="28"/>
        </w:rPr>
        <w:t xml:space="preserve">, неналоговых доходов – </w:t>
      </w:r>
      <w:r w:rsidR="00DE4ADB">
        <w:rPr>
          <w:sz w:val="28"/>
        </w:rPr>
        <w:t>12085,0</w:t>
      </w:r>
      <w:r w:rsidR="00A01C82">
        <w:rPr>
          <w:sz w:val="28"/>
        </w:rPr>
        <w:t xml:space="preserve"> тысяч рублей (</w:t>
      </w:r>
      <w:r w:rsidR="00DE4ADB">
        <w:rPr>
          <w:sz w:val="28"/>
        </w:rPr>
        <w:t xml:space="preserve">93,9 </w:t>
      </w:r>
      <w:r>
        <w:rPr>
          <w:sz w:val="28"/>
        </w:rPr>
        <w:t>% к уровню 2020 года). Без учета доходов дорожного фонда поступления налоговых и неналоговых доходо</w:t>
      </w:r>
      <w:r w:rsidR="00F717E7">
        <w:rPr>
          <w:sz w:val="28"/>
        </w:rPr>
        <w:t>в составят в 2021 году</w:t>
      </w:r>
      <w:r w:rsidR="00DE4ADB">
        <w:rPr>
          <w:sz w:val="28"/>
        </w:rPr>
        <w:t>144277,0</w:t>
      </w:r>
      <w:r w:rsidR="00F717E7">
        <w:rPr>
          <w:sz w:val="28"/>
        </w:rPr>
        <w:t xml:space="preserve"> </w:t>
      </w:r>
      <w:r>
        <w:rPr>
          <w:sz w:val="28"/>
        </w:rPr>
        <w:t xml:space="preserve"> тысяч</w:t>
      </w:r>
      <w:r w:rsidR="00F717E7">
        <w:rPr>
          <w:sz w:val="28"/>
        </w:rPr>
        <w:t xml:space="preserve"> рублей или </w:t>
      </w:r>
      <w:r w:rsidR="00DE4ADB">
        <w:rPr>
          <w:sz w:val="28"/>
        </w:rPr>
        <w:t>104,3</w:t>
      </w:r>
      <w:r>
        <w:rPr>
          <w:sz w:val="28"/>
        </w:rPr>
        <w:t>% к уровню 2020 года.</w:t>
      </w:r>
    </w:p>
    <w:p w:rsidR="00446924" w:rsidRDefault="00446924" w:rsidP="00446924">
      <w:pPr>
        <w:ind w:firstLine="567"/>
        <w:jc w:val="both"/>
        <w:rPr>
          <w:sz w:val="28"/>
        </w:rPr>
      </w:pPr>
      <w:r>
        <w:rPr>
          <w:sz w:val="28"/>
        </w:rPr>
        <w:t>Снижение поступления неналоговых доходов связано со снижением кадастровой стоимости земельных участков по  результатам государственной кадастровой оценки, выкупом арендуемого имущества.</w:t>
      </w:r>
    </w:p>
    <w:p w:rsidR="00446924" w:rsidRDefault="00446924" w:rsidP="00446924">
      <w:pPr>
        <w:ind w:firstLine="567"/>
        <w:jc w:val="both"/>
        <w:rPr>
          <w:sz w:val="28"/>
        </w:rPr>
      </w:pPr>
      <w:r>
        <w:rPr>
          <w:sz w:val="28"/>
        </w:rPr>
        <w:t xml:space="preserve"> На 2022 год прогнозируемый объем налоговых и ненало</w:t>
      </w:r>
      <w:r w:rsidR="00F717E7">
        <w:rPr>
          <w:sz w:val="28"/>
        </w:rPr>
        <w:t xml:space="preserve">говых доходов составит </w:t>
      </w:r>
      <w:r w:rsidR="002F1128">
        <w:rPr>
          <w:sz w:val="28"/>
        </w:rPr>
        <w:t>149765,0</w:t>
      </w:r>
      <w:r w:rsidR="00F717E7">
        <w:rPr>
          <w:sz w:val="28"/>
        </w:rPr>
        <w:t xml:space="preserve"> тысяч рублей (</w:t>
      </w:r>
      <w:r w:rsidR="002F1128">
        <w:rPr>
          <w:sz w:val="28"/>
        </w:rPr>
        <w:t>99,9</w:t>
      </w:r>
      <w:r>
        <w:rPr>
          <w:sz w:val="28"/>
        </w:rPr>
        <w:t xml:space="preserve">% к уровню 2021года), </w:t>
      </w:r>
      <w:r w:rsidR="00F717E7">
        <w:rPr>
          <w:sz w:val="28"/>
        </w:rPr>
        <w:t xml:space="preserve">на 2023 год – </w:t>
      </w:r>
      <w:r w:rsidR="002F1128">
        <w:rPr>
          <w:sz w:val="28"/>
        </w:rPr>
        <w:t>154429,0</w:t>
      </w:r>
      <w:r w:rsidR="00F717E7">
        <w:rPr>
          <w:sz w:val="28"/>
        </w:rPr>
        <w:t xml:space="preserve">          тысяч рублей (</w:t>
      </w:r>
      <w:r w:rsidR="002F1128">
        <w:rPr>
          <w:sz w:val="28"/>
        </w:rPr>
        <w:t>103,1</w:t>
      </w:r>
      <w:r>
        <w:rPr>
          <w:sz w:val="28"/>
        </w:rPr>
        <w:t>% к уровню 2022 года).</w:t>
      </w:r>
    </w:p>
    <w:p w:rsidR="00446924" w:rsidRDefault="00446924" w:rsidP="00446924">
      <w:pPr>
        <w:ind w:firstLine="567"/>
        <w:jc w:val="both"/>
        <w:rPr>
          <w:sz w:val="28"/>
        </w:rPr>
      </w:pPr>
      <w:r>
        <w:rPr>
          <w:sz w:val="28"/>
        </w:rPr>
        <w:t>Налоговые и неналоговые доходы дорожного фонда бюджета муниципального района в 2021 год</w:t>
      </w:r>
      <w:r w:rsidR="00F717E7">
        <w:rPr>
          <w:sz w:val="28"/>
        </w:rPr>
        <w:t xml:space="preserve">у составят  тысяч рублей или </w:t>
      </w:r>
      <w:r>
        <w:rPr>
          <w:sz w:val="28"/>
        </w:rPr>
        <w:t xml:space="preserve">% к уровню </w:t>
      </w:r>
      <w:r w:rsidR="00F717E7">
        <w:rPr>
          <w:sz w:val="28"/>
        </w:rPr>
        <w:t>2020 года, в 2022 год</w:t>
      </w:r>
      <w:proofErr w:type="gramStart"/>
      <w:r w:rsidR="00F717E7">
        <w:rPr>
          <w:sz w:val="28"/>
        </w:rPr>
        <w:t>у-</w:t>
      </w:r>
      <w:proofErr w:type="gramEnd"/>
      <w:r w:rsidR="00F717E7">
        <w:rPr>
          <w:sz w:val="28"/>
        </w:rPr>
        <w:t xml:space="preserve">  тысяч рублей (%), на 2023 год –  тысяч рублей (</w:t>
      </w:r>
      <w:r>
        <w:rPr>
          <w:sz w:val="28"/>
        </w:rPr>
        <w:t xml:space="preserve">%). </w:t>
      </w:r>
    </w:p>
    <w:p w:rsidR="00446924" w:rsidRPr="00446924" w:rsidRDefault="003F41D5" w:rsidP="003F41D5">
      <w:pPr>
        <w:pStyle w:val="af1"/>
        <w:ind w:left="0"/>
        <w:jc w:val="both"/>
        <w:rPr>
          <w:rFonts w:ascii="Times New Roman" w:hAnsi="Times New Roman"/>
          <w:sz w:val="28"/>
          <w:szCs w:val="28"/>
        </w:rPr>
      </w:pPr>
      <w:r>
        <w:rPr>
          <w:rFonts w:ascii="Times New Roman" w:hAnsi="Times New Roman"/>
          <w:sz w:val="28"/>
          <w:szCs w:val="28"/>
        </w:rPr>
        <w:t xml:space="preserve">        </w:t>
      </w:r>
      <w:r w:rsidR="00446924" w:rsidRPr="00446924">
        <w:rPr>
          <w:rFonts w:ascii="Times New Roman" w:hAnsi="Times New Roman"/>
          <w:sz w:val="28"/>
          <w:szCs w:val="28"/>
        </w:rPr>
        <w:t>Параметры налоговых и неналоговых доходов могут быть изменены в случае уточнения показателей социальн</w:t>
      </w:r>
      <w:r w:rsidR="00F717E7">
        <w:rPr>
          <w:rFonts w:ascii="Times New Roman" w:hAnsi="Times New Roman"/>
          <w:sz w:val="28"/>
          <w:szCs w:val="28"/>
        </w:rPr>
        <w:t>о-экономического развития города</w:t>
      </w:r>
      <w:r w:rsidR="00446924" w:rsidRPr="00446924">
        <w:rPr>
          <w:rFonts w:ascii="Times New Roman" w:hAnsi="Times New Roman"/>
          <w:sz w:val="28"/>
          <w:szCs w:val="28"/>
        </w:rPr>
        <w:t>, прогнозных оценок администраторов доходов по поступлению доходо</w:t>
      </w:r>
      <w:r w:rsidR="00F717E7">
        <w:rPr>
          <w:rFonts w:ascii="Times New Roman" w:hAnsi="Times New Roman"/>
          <w:sz w:val="28"/>
          <w:szCs w:val="28"/>
        </w:rPr>
        <w:t>в в бюджет города</w:t>
      </w:r>
      <w:r w:rsidR="00446924" w:rsidRPr="00446924">
        <w:rPr>
          <w:rFonts w:ascii="Times New Roman" w:hAnsi="Times New Roman"/>
          <w:sz w:val="28"/>
          <w:szCs w:val="28"/>
        </w:rPr>
        <w:t xml:space="preserve"> и внесения изменений в налоговое и бюджетное законодательство в течение 2020 года.</w:t>
      </w:r>
    </w:p>
    <w:p w:rsidR="00446924" w:rsidRPr="00446924" w:rsidRDefault="00446924" w:rsidP="00446924">
      <w:pPr>
        <w:pStyle w:val="af1"/>
        <w:jc w:val="both"/>
        <w:rPr>
          <w:rFonts w:ascii="Times New Roman" w:hAnsi="Times New Roman"/>
          <w:sz w:val="28"/>
          <w:szCs w:val="28"/>
        </w:rPr>
      </w:pPr>
    </w:p>
    <w:p w:rsidR="00446924" w:rsidRPr="00446924" w:rsidRDefault="00446924" w:rsidP="00446924">
      <w:pPr>
        <w:jc w:val="both"/>
        <w:rPr>
          <w:sz w:val="28"/>
          <w:szCs w:val="28"/>
        </w:rPr>
      </w:pPr>
    </w:p>
    <w:p w:rsidR="00446924" w:rsidRPr="00446924" w:rsidRDefault="00446924" w:rsidP="00446924">
      <w:pPr>
        <w:pStyle w:val="af1"/>
        <w:jc w:val="both"/>
        <w:rPr>
          <w:rFonts w:ascii="Times New Roman" w:hAnsi="Times New Roman"/>
          <w:sz w:val="28"/>
          <w:szCs w:val="28"/>
        </w:rPr>
      </w:pPr>
    </w:p>
    <w:p w:rsidR="00D15AA3" w:rsidRPr="00446924" w:rsidRDefault="00D15AA3" w:rsidP="00162B51">
      <w:pPr>
        <w:pStyle w:val="ConsPlusNormal"/>
        <w:jc w:val="center"/>
        <w:rPr>
          <w:rFonts w:ascii="Times New Roman" w:hAnsi="Times New Roman" w:cs="Times New Roman"/>
          <w:b/>
          <w:i/>
          <w:sz w:val="28"/>
          <w:szCs w:val="28"/>
        </w:rPr>
      </w:pPr>
    </w:p>
    <w:p w:rsidR="00D15AA3" w:rsidRDefault="00D15AA3" w:rsidP="00162B51">
      <w:pPr>
        <w:pStyle w:val="ConsPlusNormal"/>
        <w:jc w:val="center"/>
        <w:rPr>
          <w:rFonts w:ascii="Times New Roman" w:hAnsi="Times New Roman" w:cs="Times New Roman"/>
          <w:b/>
          <w:i/>
          <w:sz w:val="28"/>
          <w:szCs w:val="28"/>
        </w:rPr>
      </w:pPr>
    </w:p>
    <w:p w:rsidR="00D15AA3" w:rsidRDefault="00D15AA3" w:rsidP="00162B51">
      <w:pPr>
        <w:pStyle w:val="ConsPlusNormal"/>
        <w:jc w:val="center"/>
        <w:rPr>
          <w:rFonts w:ascii="Times New Roman" w:hAnsi="Times New Roman" w:cs="Times New Roman"/>
          <w:b/>
          <w:i/>
          <w:sz w:val="28"/>
          <w:szCs w:val="28"/>
        </w:rPr>
      </w:pPr>
    </w:p>
    <w:p w:rsidR="00D15AA3" w:rsidRDefault="00D15AA3" w:rsidP="00162B51">
      <w:pPr>
        <w:pStyle w:val="ConsPlusNormal"/>
        <w:jc w:val="center"/>
        <w:rPr>
          <w:rFonts w:ascii="Times New Roman" w:hAnsi="Times New Roman" w:cs="Times New Roman"/>
          <w:b/>
          <w:i/>
          <w:sz w:val="28"/>
          <w:szCs w:val="28"/>
        </w:rPr>
      </w:pPr>
    </w:p>
    <w:p w:rsidR="00D15AA3" w:rsidRDefault="00D15AA3" w:rsidP="00162B51">
      <w:pPr>
        <w:pStyle w:val="ConsPlusNormal"/>
        <w:jc w:val="center"/>
        <w:rPr>
          <w:rFonts w:ascii="Times New Roman" w:hAnsi="Times New Roman" w:cs="Times New Roman"/>
          <w:b/>
          <w:i/>
          <w:sz w:val="28"/>
          <w:szCs w:val="28"/>
        </w:rPr>
      </w:pPr>
    </w:p>
    <w:p w:rsidR="00D15AA3" w:rsidRDefault="00D15AA3" w:rsidP="00162B51">
      <w:pPr>
        <w:pStyle w:val="ConsPlusNormal"/>
        <w:jc w:val="center"/>
        <w:rPr>
          <w:rFonts w:ascii="Times New Roman" w:hAnsi="Times New Roman" w:cs="Times New Roman"/>
          <w:b/>
          <w:i/>
          <w:sz w:val="28"/>
          <w:szCs w:val="28"/>
        </w:rPr>
      </w:pPr>
    </w:p>
    <w:p w:rsidR="00D15AA3" w:rsidRDefault="00D15AA3" w:rsidP="00162B51">
      <w:pPr>
        <w:pStyle w:val="ConsPlusNormal"/>
        <w:jc w:val="center"/>
        <w:rPr>
          <w:rFonts w:ascii="Times New Roman" w:hAnsi="Times New Roman" w:cs="Times New Roman"/>
          <w:b/>
          <w:i/>
          <w:sz w:val="28"/>
          <w:szCs w:val="28"/>
        </w:rPr>
      </w:pPr>
    </w:p>
    <w:p w:rsidR="00990205" w:rsidRDefault="00990205" w:rsidP="00162B51">
      <w:pPr>
        <w:rPr>
          <w:sz w:val="28"/>
          <w:szCs w:val="28"/>
        </w:rPr>
      </w:pPr>
    </w:p>
    <w:p w:rsidR="00564823" w:rsidRDefault="00564823" w:rsidP="00216931">
      <w:pPr>
        <w:jc w:val="right"/>
      </w:pPr>
    </w:p>
    <w:p w:rsidR="00564823" w:rsidRDefault="00564823" w:rsidP="00216931">
      <w:pPr>
        <w:jc w:val="right"/>
      </w:pPr>
    </w:p>
    <w:p w:rsidR="00216931" w:rsidRDefault="00216931" w:rsidP="00216931">
      <w:pPr>
        <w:jc w:val="right"/>
      </w:pPr>
      <w:r>
        <w:lastRenderedPageBreak/>
        <w:t>Приложение №2</w:t>
      </w:r>
    </w:p>
    <w:p w:rsidR="00216931" w:rsidRDefault="00DB7AE5" w:rsidP="00216931">
      <w:pPr>
        <w:jc w:val="right"/>
      </w:pPr>
      <w:r>
        <w:t>к постановлению  администрации</w:t>
      </w:r>
    </w:p>
    <w:p w:rsidR="00216931" w:rsidRDefault="00DB7AE5" w:rsidP="00216931">
      <w:pPr>
        <w:jc w:val="right"/>
      </w:pPr>
      <w:r>
        <w:t>города Киржач</w:t>
      </w:r>
    </w:p>
    <w:p w:rsidR="00990205" w:rsidRDefault="00367181" w:rsidP="00216931">
      <w:pPr>
        <w:jc w:val="right"/>
        <w:rPr>
          <w:sz w:val="28"/>
          <w:szCs w:val="28"/>
        </w:rPr>
      </w:pPr>
      <w:r>
        <w:t xml:space="preserve">           </w:t>
      </w:r>
      <w:r w:rsidR="003B6563">
        <w:t xml:space="preserve">                                        </w:t>
      </w:r>
      <w:r w:rsidR="00F5619E">
        <w:t>от 30.09</w:t>
      </w:r>
      <w:r w:rsidR="00736F06">
        <w:t>.2020</w:t>
      </w:r>
      <w:r w:rsidR="00426D24">
        <w:t xml:space="preserve"> </w:t>
      </w:r>
      <w:r w:rsidR="00216931">
        <w:t>№</w:t>
      </w:r>
      <w:r w:rsidR="007F34BE">
        <w:t xml:space="preserve"> </w:t>
      </w:r>
      <w:r w:rsidR="00F35A70">
        <w:t>675</w:t>
      </w:r>
    </w:p>
    <w:p w:rsidR="00162B51" w:rsidRDefault="00162B51" w:rsidP="00162B51">
      <w:pPr>
        <w:rPr>
          <w:sz w:val="28"/>
          <w:szCs w:val="28"/>
        </w:rPr>
      </w:pPr>
    </w:p>
    <w:p w:rsidR="00162B51" w:rsidRDefault="00CB5A17" w:rsidP="00CB5A17">
      <w:pPr>
        <w:ind w:left="360"/>
        <w:jc w:val="center"/>
        <w:rPr>
          <w:b/>
          <w:sz w:val="28"/>
          <w:szCs w:val="28"/>
        </w:rPr>
      </w:pPr>
      <w:r>
        <w:rPr>
          <w:b/>
          <w:sz w:val="28"/>
          <w:szCs w:val="28"/>
        </w:rPr>
        <w:t xml:space="preserve">Основные  направления </w:t>
      </w:r>
      <w:r w:rsidR="00162B51">
        <w:rPr>
          <w:b/>
          <w:sz w:val="28"/>
          <w:szCs w:val="28"/>
        </w:rPr>
        <w:t xml:space="preserve"> бюджетной  политики </w:t>
      </w:r>
      <w:r>
        <w:rPr>
          <w:b/>
          <w:sz w:val="28"/>
          <w:szCs w:val="28"/>
        </w:rPr>
        <w:t xml:space="preserve"> муни</w:t>
      </w:r>
      <w:r w:rsidR="007068B3">
        <w:rPr>
          <w:b/>
          <w:sz w:val="28"/>
          <w:szCs w:val="28"/>
        </w:rPr>
        <w:t xml:space="preserve">ципального образования город  </w:t>
      </w:r>
      <w:r w:rsidR="00525ACA">
        <w:rPr>
          <w:b/>
          <w:sz w:val="28"/>
          <w:szCs w:val="28"/>
        </w:rPr>
        <w:t xml:space="preserve">Киржач </w:t>
      </w:r>
      <w:r w:rsidR="005D1CFF">
        <w:rPr>
          <w:b/>
          <w:sz w:val="28"/>
          <w:szCs w:val="28"/>
        </w:rPr>
        <w:t xml:space="preserve"> </w:t>
      </w:r>
      <w:proofErr w:type="spellStart"/>
      <w:r w:rsidR="005D1CFF">
        <w:rPr>
          <w:b/>
          <w:sz w:val="28"/>
          <w:szCs w:val="28"/>
        </w:rPr>
        <w:t>Киржачского</w:t>
      </w:r>
      <w:proofErr w:type="spellEnd"/>
      <w:r w:rsidR="005D1CFF">
        <w:rPr>
          <w:b/>
          <w:sz w:val="28"/>
          <w:szCs w:val="28"/>
        </w:rPr>
        <w:t xml:space="preserve"> района на 2021</w:t>
      </w:r>
      <w:r>
        <w:rPr>
          <w:b/>
          <w:sz w:val="28"/>
          <w:szCs w:val="28"/>
        </w:rPr>
        <w:t xml:space="preserve"> год  и на плановый период </w:t>
      </w:r>
      <w:r w:rsidR="005D1CFF">
        <w:rPr>
          <w:b/>
          <w:sz w:val="28"/>
          <w:szCs w:val="28"/>
        </w:rPr>
        <w:t xml:space="preserve"> 2022 и 2023</w:t>
      </w:r>
      <w:r>
        <w:rPr>
          <w:b/>
          <w:sz w:val="28"/>
          <w:szCs w:val="28"/>
        </w:rPr>
        <w:t xml:space="preserve">  годов</w:t>
      </w:r>
    </w:p>
    <w:p w:rsidR="00F752ED" w:rsidRDefault="00F752ED" w:rsidP="00F84F4B">
      <w:pPr>
        <w:pStyle w:val="ConsPlusNormal"/>
        <w:ind w:firstLine="0"/>
        <w:rPr>
          <w:rFonts w:ascii="Times New Roman" w:hAnsi="Times New Roman" w:cs="Times New Roman"/>
          <w:b/>
          <w:i/>
          <w:sz w:val="28"/>
          <w:szCs w:val="28"/>
        </w:rPr>
      </w:pPr>
    </w:p>
    <w:p w:rsidR="009C5002" w:rsidRDefault="009C5002" w:rsidP="009C5002">
      <w:pPr>
        <w:pStyle w:val="ConsPlusNormal"/>
        <w:ind w:firstLine="0"/>
        <w:jc w:val="center"/>
        <w:outlineLvl w:val="0"/>
        <w:rPr>
          <w:rFonts w:ascii="Times New Roman" w:hAnsi="Times New Roman" w:cs="Times New Roman"/>
          <w:b/>
          <w:sz w:val="28"/>
          <w:szCs w:val="28"/>
        </w:rPr>
      </w:pPr>
      <w:r>
        <w:rPr>
          <w:rFonts w:ascii="Times New Roman" w:hAnsi="Times New Roman" w:cs="Times New Roman"/>
          <w:b/>
          <w:sz w:val="28"/>
          <w:szCs w:val="28"/>
        </w:rPr>
        <w:t xml:space="preserve">1. Основные цели и задачи бюджетной политики на 2021 год и на плановый период 2022 и 2023 годов                                                   </w:t>
      </w:r>
    </w:p>
    <w:p w:rsidR="009C5002" w:rsidRDefault="009C5002" w:rsidP="009C5002">
      <w:pPr>
        <w:pStyle w:val="ConsPlusNormal"/>
        <w:jc w:val="both"/>
        <w:rPr>
          <w:rFonts w:ascii="Times New Roman" w:hAnsi="Times New Roman" w:cs="Times New Roman"/>
          <w:sz w:val="28"/>
          <w:szCs w:val="28"/>
        </w:rPr>
      </w:pPr>
    </w:p>
    <w:p w:rsidR="009C5002" w:rsidRDefault="009C5002" w:rsidP="009C50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бюджетной политики муниципального образования </w:t>
      </w:r>
      <w:r w:rsidR="003F10CE">
        <w:rPr>
          <w:rFonts w:ascii="Times New Roman" w:hAnsi="Times New Roman" w:cs="Times New Roman"/>
          <w:sz w:val="28"/>
          <w:szCs w:val="28"/>
        </w:rPr>
        <w:t xml:space="preserve"> город Киржач </w:t>
      </w:r>
      <w:proofErr w:type="spellStart"/>
      <w:r w:rsidR="003F10CE">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w:t>
      </w:r>
      <w:r w:rsidR="003F10CE">
        <w:rPr>
          <w:rFonts w:ascii="Times New Roman" w:hAnsi="Times New Roman" w:cs="Times New Roman"/>
          <w:sz w:val="28"/>
          <w:szCs w:val="28"/>
        </w:rPr>
        <w:t>а</w:t>
      </w:r>
      <w:r>
        <w:rPr>
          <w:rFonts w:ascii="Times New Roman" w:hAnsi="Times New Roman" w:cs="Times New Roman"/>
          <w:sz w:val="28"/>
          <w:szCs w:val="28"/>
        </w:rPr>
        <w:t xml:space="preserve"> на 2021 год и на плановый период 2022 и 2023 годов (далее - основные направления бюджетной политики) разработаны в соответствии со статьей 172 Бюджетного кодекса Российской Федерации и определяют цели и приоритеты бюджетн</w:t>
      </w:r>
      <w:r w:rsidR="003F10CE">
        <w:rPr>
          <w:rFonts w:ascii="Times New Roman" w:hAnsi="Times New Roman" w:cs="Times New Roman"/>
          <w:sz w:val="28"/>
          <w:szCs w:val="28"/>
        </w:rPr>
        <w:t>ой политики администрации города</w:t>
      </w:r>
      <w:r>
        <w:rPr>
          <w:rFonts w:ascii="Times New Roman" w:hAnsi="Times New Roman" w:cs="Times New Roman"/>
          <w:sz w:val="28"/>
          <w:szCs w:val="28"/>
        </w:rPr>
        <w:t xml:space="preserve"> в среднесрочной перспективе. </w:t>
      </w:r>
    </w:p>
    <w:p w:rsidR="009C5002" w:rsidRDefault="009C5002" w:rsidP="009C50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Целью основных направлений бюджетной политики является определение условий, используемых при составлении проекта бюджета муниципальн</w:t>
      </w:r>
      <w:r w:rsidR="00484D7F">
        <w:rPr>
          <w:rFonts w:ascii="Times New Roman" w:hAnsi="Times New Roman" w:cs="Times New Roman"/>
          <w:sz w:val="28"/>
          <w:szCs w:val="28"/>
        </w:rPr>
        <w:t>ого образования город Киржач</w:t>
      </w:r>
      <w:r>
        <w:rPr>
          <w:rFonts w:ascii="Times New Roman" w:hAnsi="Times New Roman" w:cs="Times New Roman"/>
          <w:sz w:val="28"/>
          <w:szCs w:val="28"/>
        </w:rPr>
        <w:t xml:space="preserve"> (дале</w:t>
      </w:r>
      <w:r w:rsidR="00484D7F">
        <w:rPr>
          <w:rFonts w:ascii="Times New Roman" w:hAnsi="Times New Roman" w:cs="Times New Roman"/>
          <w:sz w:val="28"/>
          <w:szCs w:val="28"/>
        </w:rPr>
        <w:t>е – бюджет города</w:t>
      </w:r>
      <w:r>
        <w:rPr>
          <w:rFonts w:ascii="Times New Roman" w:hAnsi="Times New Roman" w:cs="Times New Roman"/>
          <w:sz w:val="28"/>
          <w:szCs w:val="28"/>
        </w:rPr>
        <w:t>) на 2021 год и на плановый период 2022 и 2023 годов, подходов к его формированию, основных характерист</w:t>
      </w:r>
      <w:r w:rsidR="00484D7F">
        <w:rPr>
          <w:rFonts w:ascii="Times New Roman" w:hAnsi="Times New Roman" w:cs="Times New Roman"/>
          <w:sz w:val="28"/>
          <w:szCs w:val="28"/>
        </w:rPr>
        <w:t>ик бюджета города</w:t>
      </w:r>
      <w:r>
        <w:rPr>
          <w:rFonts w:ascii="Times New Roman" w:hAnsi="Times New Roman" w:cs="Times New Roman"/>
          <w:sz w:val="28"/>
          <w:szCs w:val="28"/>
        </w:rPr>
        <w:t xml:space="preserve"> на 2021-2023 годы.</w:t>
      </w:r>
    </w:p>
    <w:p w:rsidR="009C5002" w:rsidRDefault="009C5002" w:rsidP="009C50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бюджетной политики сохраняют преемственность целей и задач, определенных в 2020 году. </w:t>
      </w:r>
    </w:p>
    <w:p w:rsidR="009C5002" w:rsidRDefault="009C5002" w:rsidP="009C50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текущем году меры по ограничению распространения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на территории Российской Федерации привели к снижению деловой активности и, как следствие, к снижению налоговых и неналоговых доходов в бюджеты всех уровней, в том ч</w:t>
      </w:r>
      <w:r w:rsidR="002D28A0">
        <w:rPr>
          <w:rFonts w:ascii="Times New Roman" w:hAnsi="Times New Roman" w:cs="Times New Roman"/>
          <w:sz w:val="28"/>
          <w:szCs w:val="28"/>
        </w:rPr>
        <w:t>исле в бюджет города</w:t>
      </w:r>
      <w:r>
        <w:rPr>
          <w:rFonts w:ascii="Times New Roman" w:hAnsi="Times New Roman" w:cs="Times New Roman"/>
          <w:sz w:val="28"/>
          <w:szCs w:val="28"/>
        </w:rPr>
        <w:t>. При этом уровень недополученных доходов бюджета будет зависеть от продолжительности карантинных мер, объема принимаемых мер государственной поддержки и их влияния на структуру отраслей экономики, длительность цикла восстановления деятельности пострадавших хозяйствующих субъектов.</w:t>
      </w:r>
    </w:p>
    <w:p w:rsidR="009C5002" w:rsidRDefault="009C5002" w:rsidP="009C50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таких достаточно сложных экономических условиях основной задачей бюджетной политики является обеспечение сбалансированнос</w:t>
      </w:r>
      <w:r w:rsidR="002D28A0">
        <w:rPr>
          <w:rFonts w:ascii="Times New Roman" w:hAnsi="Times New Roman" w:cs="Times New Roman"/>
          <w:sz w:val="28"/>
          <w:szCs w:val="28"/>
        </w:rPr>
        <w:t>ти бюджета города</w:t>
      </w:r>
      <w:r>
        <w:rPr>
          <w:rFonts w:ascii="Times New Roman" w:hAnsi="Times New Roman" w:cs="Times New Roman"/>
          <w:sz w:val="28"/>
          <w:szCs w:val="28"/>
        </w:rPr>
        <w:t>, включая следующие направления:</w:t>
      </w:r>
    </w:p>
    <w:p w:rsidR="009C5002" w:rsidRDefault="009C5002" w:rsidP="009C50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осуществление </w:t>
      </w:r>
      <w:proofErr w:type="gramStart"/>
      <w:r>
        <w:rPr>
          <w:rFonts w:ascii="Times New Roman" w:hAnsi="Times New Roman" w:cs="Times New Roman"/>
          <w:sz w:val="28"/>
          <w:szCs w:val="28"/>
        </w:rPr>
        <w:t>расходов</w:t>
      </w:r>
      <w:proofErr w:type="gramEnd"/>
      <w:r>
        <w:rPr>
          <w:rFonts w:ascii="Times New Roman" w:hAnsi="Times New Roman" w:cs="Times New Roman"/>
          <w:sz w:val="28"/>
          <w:szCs w:val="28"/>
        </w:rPr>
        <w:t xml:space="preserve"> на исполнение действующи</w:t>
      </w:r>
      <w:r w:rsidR="002D28A0">
        <w:rPr>
          <w:rFonts w:ascii="Times New Roman" w:hAnsi="Times New Roman" w:cs="Times New Roman"/>
          <w:sz w:val="28"/>
          <w:szCs w:val="28"/>
        </w:rPr>
        <w:t>х расходных обязательств города</w:t>
      </w:r>
      <w:r>
        <w:rPr>
          <w:rFonts w:ascii="Times New Roman" w:hAnsi="Times New Roman" w:cs="Times New Roman"/>
          <w:sz w:val="28"/>
          <w:szCs w:val="28"/>
        </w:rPr>
        <w:t xml:space="preserve"> исходя из возможностей доход</w:t>
      </w:r>
      <w:r w:rsidR="002D28A0">
        <w:rPr>
          <w:rFonts w:ascii="Times New Roman" w:hAnsi="Times New Roman" w:cs="Times New Roman"/>
          <w:sz w:val="28"/>
          <w:szCs w:val="28"/>
        </w:rPr>
        <w:t>ов бюджета муниципального образования</w:t>
      </w:r>
      <w:r>
        <w:rPr>
          <w:rFonts w:ascii="Times New Roman" w:hAnsi="Times New Roman" w:cs="Times New Roman"/>
          <w:sz w:val="28"/>
          <w:szCs w:val="28"/>
        </w:rPr>
        <w:t xml:space="preserve"> и источников финансирования дефицита бюджета;</w:t>
      </w:r>
    </w:p>
    <w:p w:rsidR="009C5002" w:rsidRDefault="009C5002" w:rsidP="009C50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сохранение в 2021-2023 годах достигнутого соотношения между уровнем </w:t>
      </w:r>
      <w:proofErr w:type="gramStart"/>
      <w:r>
        <w:rPr>
          <w:rFonts w:ascii="Times New Roman" w:hAnsi="Times New Roman" w:cs="Times New Roman"/>
          <w:sz w:val="28"/>
          <w:szCs w:val="28"/>
        </w:rPr>
        <w:t>оплаты труда отдельных категорий работников бюджетной сферы</w:t>
      </w:r>
      <w:proofErr w:type="gramEnd"/>
      <w:r>
        <w:rPr>
          <w:rFonts w:ascii="Times New Roman" w:hAnsi="Times New Roman" w:cs="Times New Roman"/>
          <w:sz w:val="28"/>
          <w:szCs w:val="28"/>
        </w:rPr>
        <w:t xml:space="preserve"> и уровнем среднемесячного дохода от трудовой деятельности во Владимирской области;</w:t>
      </w:r>
    </w:p>
    <w:p w:rsidR="009C5002" w:rsidRDefault="009C5002" w:rsidP="009C50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ограничение роста расходов на содержание органов местного самоуправления;</w:t>
      </w:r>
    </w:p>
    <w:p w:rsidR="009C5002" w:rsidRDefault="009C5002" w:rsidP="009C50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новых расходных обязательств исключительно при наличии дополнительных доход</w:t>
      </w:r>
      <w:r w:rsidR="002D28A0">
        <w:rPr>
          <w:rFonts w:ascii="Times New Roman" w:hAnsi="Times New Roman" w:cs="Times New Roman"/>
          <w:sz w:val="28"/>
          <w:szCs w:val="28"/>
        </w:rPr>
        <w:t>ов бюджета города</w:t>
      </w:r>
      <w:r>
        <w:rPr>
          <w:rFonts w:ascii="Times New Roman" w:hAnsi="Times New Roman" w:cs="Times New Roman"/>
          <w:sz w:val="28"/>
          <w:szCs w:val="28"/>
        </w:rPr>
        <w:t>.</w:t>
      </w:r>
    </w:p>
    <w:p w:rsidR="009C5002" w:rsidRDefault="009C5002" w:rsidP="009C50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условиях ограниченности бюджетных ресурсов возрастает актуальность реализации мер по повышению эффективности использования бюджетных средств.</w:t>
      </w:r>
      <w:r w:rsidR="00A21165">
        <w:rPr>
          <w:rFonts w:ascii="Times New Roman" w:hAnsi="Times New Roman" w:cs="Times New Roman"/>
          <w:sz w:val="28"/>
          <w:szCs w:val="28"/>
        </w:rPr>
        <w:t xml:space="preserve"> Эффективное управление расходами должно быть обеспечено посредством </w:t>
      </w:r>
      <w:r w:rsidR="00A21165">
        <w:rPr>
          <w:rFonts w:ascii="Times New Roman" w:hAnsi="Times New Roman" w:cs="Times New Roman"/>
          <w:sz w:val="28"/>
          <w:szCs w:val="28"/>
        </w:rPr>
        <w:lastRenderedPageBreak/>
        <w:t>реализации муниципальных программ.</w:t>
      </w:r>
    </w:p>
    <w:p w:rsidR="009C5002" w:rsidRDefault="009C5002" w:rsidP="009C5002">
      <w:pPr>
        <w:pStyle w:val="ConsPlusNormal"/>
        <w:ind w:firstLine="540"/>
        <w:jc w:val="both"/>
        <w:rPr>
          <w:rFonts w:ascii="Times New Roman" w:hAnsi="Times New Roman" w:cs="Times New Roman"/>
          <w:sz w:val="28"/>
          <w:szCs w:val="28"/>
        </w:rPr>
      </w:pPr>
    </w:p>
    <w:p w:rsidR="00514771" w:rsidRDefault="00514771" w:rsidP="00AF086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2. Направления бюджетных расходов</w:t>
      </w:r>
    </w:p>
    <w:p w:rsidR="00514771" w:rsidRDefault="00514771" w:rsidP="00514771">
      <w:pPr>
        <w:pStyle w:val="ConsPlusNormal"/>
        <w:ind w:firstLine="540"/>
        <w:jc w:val="both"/>
        <w:rPr>
          <w:rFonts w:ascii="Times New Roman" w:hAnsi="Times New Roman" w:cs="Times New Roman"/>
          <w:sz w:val="28"/>
          <w:szCs w:val="28"/>
        </w:rPr>
      </w:pP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Бюджетная политика призвана обеспечить финансовыми ресурсам</w:t>
      </w:r>
      <w:r w:rsidR="00884391">
        <w:rPr>
          <w:rFonts w:ascii="Times New Roman" w:hAnsi="Times New Roman" w:cs="Times New Roman"/>
          <w:sz w:val="28"/>
          <w:szCs w:val="28"/>
        </w:rPr>
        <w:t>и расходные обязательства города</w:t>
      </w:r>
      <w:r w:rsidRPr="00E36BF2">
        <w:rPr>
          <w:rFonts w:ascii="Times New Roman" w:hAnsi="Times New Roman" w:cs="Times New Roman"/>
          <w:sz w:val="28"/>
          <w:szCs w:val="28"/>
        </w:rPr>
        <w:t xml:space="preserve"> по закрепленным за ним полномочиям. С этой целью более 70% расходов </w:t>
      </w:r>
      <w:r w:rsidR="00884391">
        <w:rPr>
          <w:rFonts w:ascii="Times New Roman" w:hAnsi="Times New Roman" w:cs="Times New Roman"/>
          <w:sz w:val="28"/>
          <w:szCs w:val="28"/>
        </w:rPr>
        <w:t>бюджета города</w:t>
      </w:r>
      <w:r w:rsidRPr="00E36BF2">
        <w:rPr>
          <w:rFonts w:ascii="Times New Roman" w:hAnsi="Times New Roman" w:cs="Times New Roman"/>
          <w:sz w:val="28"/>
          <w:szCs w:val="28"/>
        </w:rPr>
        <w:t xml:space="preserve"> будет направлено на финансир</w:t>
      </w:r>
      <w:r w:rsidR="00884391">
        <w:rPr>
          <w:rFonts w:ascii="Times New Roman" w:hAnsi="Times New Roman" w:cs="Times New Roman"/>
          <w:sz w:val="28"/>
          <w:szCs w:val="28"/>
        </w:rPr>
        <w:t>ование отраслей  национальной экономики и жилищно-коммунального хозяйства</w:t>
      </w:r>
      <w:r w:rsidRPr="00E36BF2">
        <w:rPr>
          <w:rFonts w:ascii="Times New Roman" w:hAnsi="Times New Roman" w:cs="Times New Roman"/>
          <w:sz w:val="28"/>
          <w:szCs w:val="28"/>
        </w:rPr>
        <w:t xml:space="preserve">. </w:t>
      </w: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Исполнение бюджетных расходов в рамках муниципальных программ  позволяет обеспечить взаимосвязь направлений бюджетных ассигнований на оказание муниципальных услуг с приоритетами социально-экономического развития района.</w:t>
      </w:r>
    </w:p>
    <w:p w:rsidR="00514771" w:rsidRPr="00E36BF2" w:rsidRDefault="00514771" w:rsidP="00514771">
      <w:pPr>
        <w:pStyle w:val="ConsPlusNormal"/>
        <w:ind w:firstLine="540"/>
        <w:jc w:val="both"/>
        <w:rPr>
          <w:rFonts w:ascii="Times New Roman" w:hAnsi="Times New Roman" w:cs="Times New Roman"/>
          <w:sz w:val="28"/>
          <w:szCs w:val="28"/>
        </w:rPr>
      </w:pPr>
      <w:proofErr w:type="gramStart"/>
      <w:r w:rsidRPr="00E36BF2">
        <w:rPr>
          <w:rFonts w:ascii="Times New Roman" w:hAnsi="Times New Roman" w:cs="Times New Roman"/>
          <w:sz w:val="28"/>
          <w:szCs w:val="28"/>
        </w:rPr>
        <w:t>Руководителям ответственных исполнителей муниципальных программ необходимо обеспечить достижение запланированного результата от использования бюджетных средств, четко определять ключевые показатели деятельности, соответствующие показателям «дорожных карт» реализации указов Президента Российской Федерации, способы их достижения в рамках имеющихся ресурсных ограничений, учитывая при этом, что муниципальные программы не порождают расходных обязательств муниципальн</w:t>
      </w:r>
      <w:r w:rsidR="00884391">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а являются инструментом эффективной их реализации. </w:t>
      </w:r>
      <w:proofErr w:type="gramEnd"/>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Главным приоритетом бюджетной политики в сфере расходов остается финансовое обеспечение указов Президента Российской Федерации.</w:t>
      </w:r>
    </w:p>
    <w:p w:rsidR="00514771" w:rsidRPr="00E36BF2" w:rsidRDefault="00884391" w:rsidP="005147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Расходы бюджета города</w:t>
      </w:r>
      <w:r w:rsidR="00514771" w:rsidRPr="00E36BF2">
        <w:rPr>
          <w:rFonts w:ascii="Times New Roman" w:hAnsi="Times New Roman" w:cs="Times New Roman"/>
          <w:sz w:val="28"/>
          <w:szCs w:val="28"/>
        </w:rPr>
        <w:t xml:space="preserve"> на реализацию вышеназванных указов позволяют выполнить в полном объеме целевые показатели «дорожных карт» по повышению </w:t>
      </w:r>
      <w:proofErr w:type="gramStart"/>
      <w:r w:rsidR="00514771" w:rsidRPr="00E36BF2">
        <w:rPr>
          <w:rFonts w:ascii="Times New Roman" w:hAnsi="Times New Roman" w:cs="Times New Roman"/>
          <w:sz w:val="28"/>
          <w:szCs w:val="28"/>
        </w:rPr>
        <w:t>оплаты труда отдельных категорий работников бюджетного сектора</w:t>
      </w:r>
      <w:proofErr w:type="gramEnd"/>
      <w:r w:rsidR="00514771" w:rsidRPr="00E36BF2">
        <w:rPr>
          <w:rFonts w:ascii="Times New Roman" w:hAnsi="Times New Roman" w:cs="Times New Roman"/>
          <w:sz w:val="28"/>
          <w:szCs w:val="28"/>
        </w:rPr>
        <w:t xml:space="preserve">. </w:t>
      </w:r>
    </w:p>
    <w:p w:rsidR="00514771" w:rsidRDefault="00514771" w:rsidP="00EB0F0F">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Средняя</w:t>
      </w:r>
      <w:r w:rsidR="00884391">
        <w:rPr>
          <w:rFonts w:ascii="Times New Roman" w:hAnsi="Times New Roman" w:cs="Times New Roman"/>
          <w:sz w:val="28"/>
          <w:szCs w:val="28"/>
        </w:rPr>
        <w:t xml:space="preserve"> заработная плата  работников учреждений  в сфере </w:t>
      </w:r>
      <w:r w:rsidRPr="00E36BF2">
        <w:rPr>
          <w:rFonts w:ascii="Times New Roman" w:hAnsi="Times New Roman" w:cs="Times New Roman"/>
          <w:sz w:val="28"/>
          <w:szCs w:val="28"/>
        </w:rPr>
        <w:t xml:space="preserve"> культуры в соответствии с «дорожной картой» в 2021-2023 годы составит 100% от сред</w:t>
      </w:r>
      <w:r w:rsidR="00884391">
        <w:rPr>
          <w:rFonts w:ascii="Times New Roman" w:hAnsi="Times New Roman" w:cs="Times New Roman"/>
          <w:sz w:val="28"/>
          <w:szCs w:val="28"/>
        </w:rPr>
        <w:t xml:space="preserve">немесячной заработной  платы наемных работников в организациях, у индивидуальных предпринимателей и физических лиц </w:t>
      </w:r>
      <w:proofErr w:type="gramStart"/>
      <w:r w:rsidR="00884391">
        <w:rPr>
          <w:rFonts w:ascii="Times New Roman" w:hAnsi="Times New Roman" w:cs="Times New Roman"/>
          <w:sz w:val="28"/>
          <w:szCs w:val="28"/>
        </w:rPr>
        <w:t xml:space="preserve">( </w:t>
      </w:r>
      <w:proofErr w:type="gramEnd"/>
      <w:r w:rsidR="00884391">
        <w:rPr>
          <w:rFonts w:ascii="Times New Roman" w:hAnsi="Times New Roman" w:cs="Times New Roman"/>
          <w:sz w:val="28"/>
          <w:szCs w:val="28"/>
        </w:rPr>
        <w:t>среднемесячный доход от трудовой деятельности).</w:t>
      </w:r>
      <w:r w:rsidRPr="00E36BF2">
        <w:rPr>
          <w:rFonts w:ascii="Times New Roman" w:hAnsi="Times New Roman" w:cs="Times New Roman"/>
          <w:sz w:val="28"/>
          <w:szCs w:val="28"/>
        </w:rPr>
        <w:t xml:space="preserve"> </w:t>
      </w:r>
    </w:p>
    <w:p w:rsidR="00763884" w:rsidRDefault="00763884" w:rsidP="00763884">
      <w:pPr>
        <w:pStyle w:val="ConsPlusNormal"/>
        <w:ind w:firstLine="540"/>
        <w:jc w:val="both"/>
        <w:rPr>
          <w:rFonts w:ascii="Times New Roman" w:hAnsi="Times New Roman" w:cs="Times New Roman"/>
          <w:sz w:val="28"/>
          <w:szCs w:val="28"/>
        </w:rPr>
      </w:pPr>
      <w:r w:rsidRPr="00763884">
        <w:rPr>
          <w:rFonts w:ascii="Times New Roman" w:hAnsi="Times New Roman" w:cs="Times New Roman"/>
          <w:b/>
          <w:sz w:val="28"/>
          <w:szCs w:val="28"/>
        </w:rPr>
        <w:t>В сфере жилья и формирования городской среды</w:t>
      </w:r>
      <w:r>
        <w:rPr>
          <w:rFonts w:ascii="Times New Roman" w:hAnsi="Times New Roman" w:cs="Times New Roman"/>
          <w:sz w:val="28"/>
          <w:szCs w:val="28"/>
        </w:rPr>
        <w:t xml:space="preserve"> необходимо обеспечить достижение следующих целей:</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кардинальное повышение комфортности городской среды;</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сокращения непригодного для проживания жилищного фонда.</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их достижения будут решаться следующие задачи:</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переселение граждан из непригодного для проживания жилищного фонда;</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Обновление городской среды в рамках приоритетного проекта «Формирование комфортной городской среды» продолжится  при непосредственном участии граждан в решении вопросов благоустройства дворовых территорий и мест массового отдыха.</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Сокращение непригодного для проживания жилищного фонда, признанного таковым после 1 января 2012 года, продолжится путем приобретения жилья.</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улучшения состояния многоквартирных домов и повышения комфортности проживания граждан в них  и реализации  региональной программы капитального ремонта таких домов до 2043 года, в 2021-2023 годах в бюджете города будет предусмотрена  доля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ежегодного взноса </w:t>
      </w:r>
      <w:r>
        <w:rPr>
          <w:rFonts w:ascii="Times New Roman" w:hAnsi="Times New Roman" w:cs="Times New Roman"/>
          <w:sz w:val="28"/>
          <w:szCs w:val="28"/>
        </w:rPr>
        <w:lastRenderedPageBreak/>
        <w:t xml:space="preserve">некоммерческой организации «Фонд капитального ремонта многоквартирных домов»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заключенного Соглашения.</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снижения стоимости коммунальных услуг  планируется приобретение </w:t>
      </w:r>
      <w:proofErr w:type="spellStart"/>
      <w:r>
        <w:rPr>
          <w:rFonts w:ascii="Times New Roman" w:hAnsi="Times New Roman" w:cs="Times New Roman"/>
          <w:sz w:val="28"/>
          <w:szCs w:val="28"/>
        </w:rPr>
        <w:t>энергоэффективного</w:t>
      </w:r>
      <w:proofErr w:type="spellEnd"/>
      <w:r>
        <w:rPr>
          <w:rFonts w:ascii="Times New Roman" w:hAnsi="Times New Roman" w:cs="Times New Roman"/>
          <w:sz w:val="28"/>
          <w:szCs w:val="28"/>
        </w:rPr>
        <w:t xml:space="preserve"> оборудования, модернизация уличного наружного освещения с применением энергосберегающих систем.</w:t>
      </w:r>
    </w:p>
    <w:p w:rsidR="00763884" w:rsidRDefault="00763884" w:rsidP="00763884">
      <w:pPr>
        <w:pStyle w:val="ConsPlusNormal"/>
        <w:ind w:firstLine="540"/>
        <w:jc w:val="both"/>
        <w:rPr>
          <w:rFonts w:ascii="Times New Roman" w:hAnsi="Times New Roman" w:cs="Times New Roman"/>
          <w:sz w:val="28"/>
          <w:szCs w:val="28"/>
        </w:rPr>
      </w:pPr>
      <w:r w:rsidRPr="00763884">
        <w:rPr>
          <w:rFonts w:ascii="Times New Roman" w:hAnsi="Times New Roman" w:cs="Times New Roman"/>
          <w:b/>
          <w:sz w:val="28"/>
          <w:szCs w:val="28"/>
        </w:rPr>
        <w:t>В сфере создания безопасных и качественных дорог</w:t>
      </w:r>
      <w:r>
        <w:rPr>
          <w:rFonts w:ascii="Times New Roman" w:hAnsi="Times New Roman" w:cs="Times New Roman"/>
          <w:b/>
          <w:i/>
          <w:sz w:val="28"/>
          <w:szCs w:val="28"/>
        </w:rPr>
        <w:t xml:space="preserve">  </w:t>
      </w:r>
      <w:r w:rsidRPr="00CF0951">
        <w:rPr>
          <w:rFonts w:ascii="Times New Roman" w:hAnsi="Times New Roman" w:cs="Times New Roman"/>
          <w:sz w:val="28"/>
          <w:szCs w:val="28"/>
        </w:rPr>
        <w:t>необходимо обеспечить</w:t>
      </w:r>
      <w:r>
        <w:rPr>
          <w:rFonts w:ascii="Times New Roman" w:hAnsi="Times New Roman" w:cs="Times New Roman"/>
          <w:sz w:val="28"/>
          <w:szCs w:val="28"/>
        </w:rPr>
        <w:t xml:space="preserve"> достижение целей, обозначенных в Указе:</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увеличение доли  автомобильных дорог, соответствующих нормативным требованиям;</w:t>
      </w:r>
    </w:p>
    <w:p w:rsidR="00763884" w:rsidRPr="00E36BF2" w:rsidRDefault="00763884" w:rsidP="00032D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создание безопасных и качественных дорог направляются средства  регионального дорожного фонда и </w:t>
      </w:r>
      <w:r w:rsidR="00E73189">
        <w:rPr>
          <w:rFonts w:ascii="Times New Roman" w:hAnsi="Times New Roman" w:cs="Times New Roman"/>
          <w:sz w:val="28"/>
          <w:szCs w:val="28"/>
        </w:rPr>
        <w:t>поступления транспортного налога с физических лиц</w:t>
      </w:r>
      <w:r>
        <w:rPr>
          <w:rFonts w:ascii="Times New Roman" w:hAnsi="Times New Roman" w:cs="Times New Roman"/>
          <w:sz w:val="28"/>
          <w:szCs w:val="28"/>
        </w:rPr>
        <w:t>. Планирование  расходов фонда осуществляется с учетом положений статьи 179.4 Бюджетного кодекса Российской Федерации исходя из  прогнозируемого объема доходов, являющихся источником формирования дорожного фонда, и в соответствии с поручением Президента Российской Федерации от 14 марта 2016 года - не менее уровня доходов, фактически полученных  за отчетный финансовый год.</w:t>
      </w:r>
    </w:p>
    <w:p w:rsidR="00514771" w:rsidRPr="00E36BF2" w:rsidRDefault="00514771" w:rsidP="00514771">
      <w:pPr>
        <w:ind w:firstLine="567"/>
        <w:jc w:val="both"/>
        <w:rPr>
          <w:sz w:val="28"/>
          <w:szCs w:val="28"/>
        </w:rPr>
      </w:pPr>
      <w:r w:rsidRPr="00E36BF2">
        <w:rPr>
          <w:sz w:val="28"/>
          <w:szCs w:val="28"/>
        </w:rPr>
        <w:t xml:space="preserve">Бюджетная политика </w:t>
      </w:r>
      <w:r w:rsidRPr="00E36BF2">
        <w:rPr>
          <w:b/>
          <w:sz w:val="28"/>
          <w:szCs w:val="28"/>
        </w:rPr>
        <w:t>в сфере физической культуры и спорта</w:t>
      </w:r>
      <w:r w:rsidRPr="00E36BF2">
        <w:rPr>
          <w:sz w:val="28"/>
          <w:szCs w:val="28"/>
        </w:rPr>
        <w:t xml:space="preserve"> направлена на решение следующих основных задач:</w:t>
      </w:r>
    </w:p>
    <w:p w:rsidR="00514771" w:rsidRPr="00E36BF2" w:rsidRDefault="00514771" w:rsidP="00514771">
      <w:pPr>
        <w:ind w:firstLine="567"/>
        <w:jc w:val="both"/>
        <w:rPr>
          <w:sz w:val="28"/>
          <w:szCs w:val="28"/>
        </w:rPr>
      </w:pPr>
      <w:r w:rsidRPr="00E36BF2">
        <w:rPr>
          <w:sz w:val="28"/>
          <w:szCs w:val="28"/>
        </w:rPr>
        <w:t>- создание для всех категорий и групп населения условий для занятий физической культурой и спортом;</w:t>
      </w:r>
    </w:p>
    <w:p w:rsidR="00514771" w:rsidRPr="00E36BF2" w:rsidRDefault="00514771" w:rsidP="00514771">
      <w:pPr>
        <w:ind w:firstLine="567"/>
        <w:jc w:val="both"/>
        <w:rPr>
          <w:sz w:val="28"/>
          <w:szCs w:val="28"/>
        </w:rPr>
      </w:pPr>
      <w:r w:rsidRPr="00E36BF2">
        <w:rPr>
          <w:sz w:val="28"/>
          <w:szCs w:val="28"/>
        </w:rPr>
        <w:t>- повышение уровня обеспеченности населения объектами спорта.</w:t>
      </w:r>
    </w:p>
    <w:p w:rsidR="00514771" w:rsidRPr="00E36BF2" w:rsidRDefault="00514771" w:rsidP="00EB0F0F">
      <w:pPr>
        <w:ind w:firstLine="567"/>
        <w:jc w:val="both"/>
        <w:rPr>
          <w:sz w:val="28"/>
          <w:szCs w:val="28"/>
        </w:rPr>
      </w:pPr>
      <w:r w:rsidRPr="00E36BF2">
        <w:rPr>
          <w:sz w:val="28"/>
          <w:szCs w:val="28"/>
        </w:rPr>
        <w:t>Расхо</w:t>
      </w:r>
      <w:r w:rsidR="00EB0F0F">
        <w:rPr>
          <w:sz w:val="28"/>
          <w:szCs w:val="28"/>
        </w:rPr>
        <w:t>ды бюджета города</w:t>
      </w:r>
      <w:r w:rsidRPr="00E36BF2">
        <w:rPr>
          <w:sz w:val="28"/>
          <w:szCs w:val="28"/>
        </w:rPr>
        <w:t xml:space="preserve"> планируется направить на реализацию комплекса мер по пропаганде физической культуры и спорта, на физкультурно-массовую и спортивную работу.</w:t>
      </w:r>
    </w:p>
    <w:p w:rsidR="00514771" w:rsidRPr="00E36BF2" w:rsidRDefault="00514771" w:rsidP="00514771">
      <w:pPr>
        <w:ind w:firstLine="567"/>
        <w:jc w:val="both"/>
        <w:rPr>
          <w:sz w:val="28"/>
          <w:szCs w:val="28"/>
        </w:rPr>
      </w:pPr>
      <w:r w:rsidRPr="00E36BF2">
        <w:rPr>
          <w:sz w:val="28"/>
          <w:szCs w:val="28"/>
        </w:rPr>
        <w:t>Расхо</w:t>
      </w:r>
      <w:r w:rsidR="00DB620A">
        <w:rPr>
          <w:sz w:val="28"/>
          <w:szCs w:val="28"/>
        </w:rPr>
        <w:t>ды бюджета города</w:t>
      </w:r>
      <w:r w:rsidRPr="00E36BF2">
        <w:rPr>
          <w:sz w:val="28"/>
          <w:szCs w:val="28"/>
        </w:rPr>
        <w:t xml:space="preserve"> </w:t>
      </w:r>
      <w:r w:rsidRPr="00E36BF2">
        <w:rPr>
          <w:b/>
          <w:sz w:val="28"/>
          <w:szCs w:val="28"/>
        </w:rPr>
        <w:t>на культуру</w:t>
      </w:r>
      <w:r w:rsidRPr="00E36BF2">
        <w:rPr>
          <w:sz w:val="28"/>
          <w:szCs w:val="28"/>
        </w:rPr>
        <w:t xml:space="preserve"> направлены:</w:t>
      </w:r>
    </w:p>
    <w:p w:rsidR="00514771" w:rsidRPr="00E36BF2" w:rsidRDefault="00514771" w:rsidP="00514771">
      <w:pPr>
        <w:ind w:firstLine="567"/>
        <w:jc w:val="both"/>
        <w:rPr>
          <w:sz w:val="28"/>
          <w:szCs w:val="28"/>
        </w:rPr>
      </w:pPr>
      <w:r w:rsidRPr="00E36BF2">
        <w:rPr>
          <w:sz w:val="28"/>
          <w:szCs w:val="28"/>
        </w:rPr>
        <w:t>-  на обеспечение  прав граждан на доступ к культурным  ценностям;</w:t>
      </w:r>
    </w:p>
    <w:p w:rsidR="00514771" w:rsidRPr="00E36BF2" w:rsidRDefault="00514771" w:rsidP="00514771">
      <w:pPr>
        <w:ind w:firstLine="567"/>
        <w:jc w:val="both"/>
        <w:rPr>
          <w:sz w:val="28"/>
          <w:szCs w:val="28"/>
        </w:rPr>
      </w:pPr>
      <w:r w:rsidRPr="00E36BF2">
        <w:rPr>
          <w:sz w:val="28"/>
          <w:szCs w:val="28"/>
        </w:rPr>
        <w:t>- на  поддержку творческих коллективов, общественных и культурных инициатив граждан в области культуры;</w:t>
      </w:r>
    </w:p>
    <w:p w:rsidR="00514771" w:rsidRPr="00E36BF2" w:rsidRDefault="00514771" w:rsidP="00514771">
      <w:pPr>
        <w:ind w:firstLine="567"/>
        <w:jc w:val="both"/>
        <w:rPr>
          <w:sz w:val="28"/>
          <w:szCs w:val="28"/>
        </w:rPr>
      </w:pPr>
      <w:r w:rsidRPr="00E36BF2">
        <w:rPr>
          <w:sz w:val="28"/>
          <w:szCs w:val="28"/>
        </w:rPr>
        <w:t>-  на  сохранение исторического и культурного наследия;</w:t>
      </w:r>
    </w:p>
    <w:p w:rsidR="00514771" w:rsidRPr="00E36BF2" w:rsidRDefault="00514771" w:rsidP="00DB620A">
      <w:pPr>
        <w:ind w:firstLine="567"/>
        <w:jc w:val="both"/>
        <w:rPr>
          <w:sz w:val="28"/>
          <w:szCs w:val="28"/>
        </w:rPr>
      </w:pPr>
      <w:r w:rsidRPr="00E36BF2">
        <w:rPr>
          <w:sz w:val="28"/>
          <w:szCs w:val="28"/>
        </w:rPr>
        <w:t>-  на обеспечение достойной оплаты труда работников учреждений культуры, развитие и сохранение кадрового потенциала учреждений культуры.</w:t>
      </w:r>
    </w:p>
    <w:p w:rsidR="00514771" w:rsidRPr="00E36BF2" w:rsidRDefault="00514771" w:rsidP="005C74EC">
      <w:pPr>
        <w:ind w:firstLine="567"/>
        <w:jc w:val="both"/>
        <w:rPr>
          <w:sz w:val="28"/>
          <w:szCs w:val="28"/>
        </w:rPr>
      </w:pPr>
      <w:r w:rsidRPr="00E36BF2">
        <w:rPr>
          <w:sz w:val="28"/>
          <w:szCs w:val="28"/>
        </w:rPr>
        <w:t xml:space="preserve">Расходы на </w:t>
      </w:r>
      <w:r w:rsidRPr="00E36BF2">
        <w:rPr>
          <w:b/>
          <w:sz w:val="28"/>
          <w:szCs w:val="28"/>
        </w:rPr>
        <w:t>социальную политику</w:t>
      </w:r>
      <w:r w:rsidRPr="00E36BF2">
        <w:rPr>
          <w:sz w:val="28"/>
          <w:szCs w:val="28"/>
        </w:rPr>
        <w:t xml:space="preserve"> на 2021-2023 годы планируются на выполнение предусмотренных муниципальными правовыми актами прямых обязательств перед населением (пенсионное обеспечение, социальные выплаты, социальная поддержка граждан).</w:t>
      </w:r>
    </w:p>
    <w:p w:rsidR="00514771" w:rsidRPr="00E36BF2" w:rsidRDefault="00514771" w:rsidP="00514771">
      <w:pPr>
        <w:pStyle w:val="af1"/>
        <w:ind w:firstLine="567"/>
        <w:jc w:val="both"/>
        <w:rPr>
          <w:rFonts w:ascii="Times New Roman" w:hAnsi="Times New Roman"/>
          <w:sz w:val="28"/>
          <w:szCs w:val="28"/>
        </w:rPr>
      </w:pPr>
      <w:r w:rsidRPr="00E36BF2">
        <w:rPr>
          <w:rFonts w:ascii="Times New Roman" w:hAnsi="Times New Roman"/>
          <w:b/>
          <w:sz w:val="28"/>
          <w:szCs w:val="28"/>
        </w:rPr>
        <w:t>В области капитального строительства</w:t>
      </w:r>
      <w:r w:rsidRPr="00E36BF2">
        <w:rPr>
          <w:rFonts w:ascii="Times New Roman" w:hAnsi="Times New Roman"/>
          <w:sz w:val="28"/>
          <w:szCs w:val="28"/>
        </w:rPr>
        <w:t xml:space="preserve"> бюджетная политика должна быть направлена на приоритетное обеспечение финансированием капитальных вложений, осуществляемых в рамках реализации национальных проектов, а также объектов, находящихся в стадии завершения, значимых объектов для социальн</w:t>
      </w:r>
      <w:r w:rsidR="00DB620A">
        <w:rPr>
          <w:rFonts w:ascii="Times New Roman" w:hAnsi="Times New Roman"/>
          <w:sz w:val="28"/>
          <w:szCs w:val="28"/>
        </w:rPr>
        <w:t>о-экономического развития города</w:t>
      </w:r>
      <w:r w:rsidRPr="00E36BF2">
        <w:rPr>
          <w:rFonts w:ascii="Times New Roman" w:hAnsi="Times New Roman"/>
          <w:sz w:val="28"/>
          <w:szCs w:val="28"/>
        </w:rPr>
        <w:t>, объектов, строящихся с привлечением средств других бюджетов бюджетной системы Российской Федерации.</w:t>
      </w: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Планирование расходов на строительство, реконструкцию и капитальный ремонт объектов муниципальной собственности муниципальн</w:t>
      </w:r>
      <w:r w:rsidR="00DB620A">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необходимо осуществлять только при наличии утвержденной проектной документации с положительным заключением государственной экспертизы.</w:t>
      </w: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lastRenderedPageBreak/>
        <w:t xml:space="preserve">При этом бюджетные инвестиции должны быть направлены в первую очередь на завершение ранее начатых строек. Следует не допускать фактов </w:t>
      </w:r>
      <w:proofErr w:type="gramStart"/>
      <w:r w:rsidRPr="00E36BF2">
        <w:rPr>
          <w:rFonts w:ascii="Times New Roman" w:hAnsi="Times New Roman" w:cs="Times New Roman"/>
          <w:sz w:val="28"/>
          <w:szCs w:val="28"/>
        </w:rPr>
        <w:t>удорожания первоначальной сметной стоимости строительства объектов муниципальной собственности</w:t>
      </w:r>
      <w:proofErr w:type="gramEnd"/>
      <w:r w:rsidRPr="00E36BF2">
        <w:rPr>
          <w:rFonts w:ascii="Times New Roman" w:hAnsi="Times New Roman" w:cs="Times New Roman"/>
          <w:sz w:val="28"/>
          <w:szCs w:val="28"/>
        </w:rPr>
        <w:t xml:space="preserve">. </w:t>
      </w:r>
    </w:p>
    <w:p w:rsidR="00DB620A" w:rsidRDefault="00514771" w:rsidP="00DB620A">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Предоставление субсидий из областного бюджета на указанные цели будут осуществляться при наличии обязательства органа местного самоуправления о финансировании строительства, реконструкции объекта за счет средс</w:t>
      </w:r>
      <w:r w:rsidR="00DB620A">
        <w:rPr>
          <w:rFonts w:ascii="Times New Roman" w:hAnsi="Times New Roman" w:cs="Times New Roman"/>
          <w:sz w:val="28"/>
          <w:szCs w:val="28"/>
        </w:rPr>
        <w:t>тв бюджета города</w:t>
      </w:r>
      <w:r w:rsidRPr="00E36BF2">
        <w:rPr>
          <w:rFonts w:ascii="Times New Roman" w:hAnsi="Times New Roman" w:cs="Times New Roman"/>
          <w:sz w:val="28"/>
          <w:szCs w:val="28"/>
        </w:rPr>
        <w:t xml:space="preserve"> в соответствии с установленным уровнем </w:t>
      </w:r>
      <w:proofErr w:type="spellStart"/>
      <w:r w:rsidRPr="00E36BF2">
        <w:rPr>
          <w:rFonts w:ascii="Times New Roman" w:hAnsi="Times New Roman" w:cs="Times New Roman"/>
          <w:sz w:val="28"/>
          <w:szCs w:val="28"/>
        </w:rPr>
        <w:t>софинансирования</w:t>
      </w:r>
      <w:proofErr w:type="spellEnd"/>
      <w:r w:rsidRPr="00E36BF2">
        <w:rPr>
          <w:rFonts w:ascii="Times New Roman" w:hAnsi="Times New Roman" w:cs="Times New Roman"/>
          <w:sz w:val="28"/>
          <w:szCs w:val="28"/>
        </w:rPr>
        <w:t>, соблюдении сроков строительства и ввода объектов в эксплуатацию, достижении целевых показателей результативности использования субсидии.</w:t>
      </w:r>
    </w:p>
    <w:p w:rsidR="00514771" w:rsidRPr="00E36BF2" w:rsidRDefault="00514771" w:rsidP="00514771">
      <w:pPr>
        <w:autoSpaceDE w:val="0"/>
        <w:autoSpaceDN w:val="0"/>
        <w:adjustRightInd w:val="0"/>
        <w:ind w:firstLine="567"/>
        <w:jc w:val="both"/>
        <w:outlineLvl w:val="3"/>
        <w:rPr>
          <w:sz w:val="28"/>
          <w:szCs w:val="28"/>
        </w:rPr>
      </w:pPr>
      <w:r w:rsidRPr="00E36BF2">
        <w:rPr>
          <w:sz w:val="28"/>
          <w:szCs w:val="28"/>
        </w:rPr>
        <w:t>Кроме того, в проек</w:t>
      </w:r>
      <w:r w:rsidR="006D46B6">
        <w:rPr>
          <w:sz w:val="28"/>
          <w:szCs w:val="28"/>
        </w:rPr>
        <w:t>те бюджета города</w:t>
      </w:r>
      <w:r w:rsidRPr="00E36BF2">
        <w:rPr>
          <w:sz w:val="28"/>
          <w:szCs w:val="28"/>
        </w:rPr>
        <w:t xml:space="preserve"> на 2021-2023 годы будут предусмотрены ассигнования </w:t>
      </w:r>
      <w:proofErr w:type="gramStart"/>
      <w:r w:rsidRPr="00E36BF2">
        <w:rPr>
          <w:sz w:val="28"/>
          <w:szCs w:val="28"/>
        </w:rPr>
        <w:t>на</w:t>
      </w:r>
      <w:proofErr w:type="gramEnd"/>
      <w:r w:rsidRPr="00E36BF2">
        <w:rPr>
          <w:sz w:val="28"/>
          <w:szCs w:val="28"/>
        </w:rPr>
        <w:t>:</w:t>
      </w:r>
    </w:p>
    <w:p w:rsidR="00514771" w:rsidRPr="00E36BF2" w:rsidRDefault="00514771" w:rsidP="00514771">
      <w:pPr>
        <w:autoSpaceDE w:val="0"/>
        <w:autoSpaceDN w:val="0"/>
        <w:adjustRightInd w:val="0"/>
        <w:ind w:firstLine="567"/>
        <w:jc w:val="both"/>
        <w:outlineLvl w:val="3"/>
        <w:rPr>
          <w:sz w:val="28"/>
          <w:szCs w:val="28"/>
        </w:rPr>
      </w:pPr>
      <w:r w:rsidRPr="00E36BF2">
        <w:rPr>
          <w:sz w:val="28"/>
          <w:szCs w:val="28"/>
        </w:rPr>
        <w:t xml:space="preserve">- </w:t>
      </w:r>
      <w:r w:rsidR="00B43306">
        <w:rPr>
          <w:sz w:val="28"/>
          <w:szCs w:val="28"/>
        </w:rPr>
        <w:t>обеспечение равной доступности услуг общественного транспорта для отдельных категорий граждан в муниципальном сообщении;</w:t>
      </w:r>
    </w:p>
    <w:p w:rsidR="00514771" w:rsidRPr="00E36BF2" w:rsidRDefault="00514771" w:rsidP="00514771">
      <w:pPr>
        <w:ind w:firstLine="567"/>
        <w:jc w:val="both"/>
        <w:rPr>
          <w:sz w:val="28"/>
          <w:szCs w:val="28"/>
        </w:rPr>
      </w:pPr>
      <w:r w:rsidRPr="00E36BF2">
        <w:rPr>
          <w:sz w:val="28"/>
          <w:szCs w:val="28"/>
        </w:rPr>
        <w:t xml:space="preserve">- организацию в границах сельских поселений </w:t>
      </w:r>
      <w:proofErr w:type="spellStart"/>
      <w:r w:rsidRPr="00E36BF2">
        <w:rPr>
          <w:sz w:val="28"/>
          <w:szCs w:val="28"/>
        </w:rPr>
        <w:t>электро</w:t>
      </w:r>
      <w:proofErr w:type="spellEnd"/>
      <w:r w:rsidRPr="00E36BF2">
        <w:rPr>
          <w:sz w:val="28"/>
          <w:szCs w:val="28"/>
        </w:rPr>
        <w:t>-, тепл</w:t>
      </w:r>
      <w:proofErr w:type="gramStart"/>
      <w:r w:rsidRPr="00E36BF2">
        <w:rPr>
          <w:sz w:val="28"/>
          <w:szCs w:val="28"/>
        </w:rPr>
        <w:t>о-</w:t>
      </w:r>
      <w:proofErr w:type="gramEnd"/>
      <w:r w:rsidRPr="00E36BF2">
        <w:rPr>
          <w:sz w:val="28"/>
          <w:szCs w:val="28"/>
        </w:rPr>
        <w:t xml:space="preserve">, </w:t>
      </w:r>
      <w:proofErr w:type="spellStart"/>
      <w:r w:rsidRPr="00E36BF2">
        <w:rPr>
          <w:sz w:val="28"/>
          <w:szCs w:val="28"/>
        </w:rPr>
        <w:t>газо</w:t>
      </w:r>
      <w:proofErr w:type="spellEnd"/>
      <w:r w:rsidRPr="00E36BF2">
        <w:rPr>
          <w:sz w:val="28"/>
          <w:szCs w:val="28"/>
        </w:rPr>
        <w:t>- и водоснабжения населения, водоотведения, снабжения населения топливом в пределах полномочий, установленных законодательством РФ;</w:t>
      </w:r>
    </w:p>
    <w:p w:rsidR="00514771" w:rsidRDefault="00514771" w:rsidP="00514771">
      <w:pPr>
        <w:ind w:firstLine="567"/>
        <w:jc w:val="both"/>
        <w:rPr>
          <w:sz w:val="28"/>
          <w:szCs w:val="28"/>
        </w:rPr>
      </w:pPr>
      <w:r w:rsidRPr="00E36BF2">
        <w:rPr>
          <w:sz w:val="28"/>
          <w:szCs w:val="28"/>
        </w:rPr>
        <w:t>- дорожную деятельность в отношен</w:t>
      </w:r>
      <w:r w:rsidR="00F63544">
        <w:rPr>
          <w:sz w:val="28"/>
          <w:szCs w:val="28"/>
        </w:rPr>
        <w:t xml:space="preserve">ии автомобильных дорог общего пользования населенных пунктов, </w:t>
      </w:r>
      <w:r w:rsidRPr="00E36BF2">
        <w:rPr>
          <w:sz w:val="28"/>
          <w:szCs w:val="28"/>
        </w:rPr>
        <w:t xml:space="preserve">обеспечение безопасности дорожного движения, осуществление муниципального </w:t>
      </w:r>
      <w:proofErr w:type="gramStart"/>
      <w:r w:rsidRPr="00E36BF2">
        <w:rPr>
          <w:sz w:val="28"/>
          <w:szCs w:val="28"/>
        </w:rPr>
        <w:t>контроля за</w:t>
      </w:r>
      <w:proofErr w:type="gramEnd"/>
      <w:r w:rsidRPr="00E36BF2">
        <w:rPr>
          <w:sz w:val="28"/>
          <w:szCs w:val="28"/>
        </w:rPr>
        <w:t xml:space="preserve"> сохранностью автомобильных дорог местного значен</w:t>
      </w:r>
      <w:r w:rsidR="00A41089">
        <w:rPr>
          <w:sz w:val="28"/>
          <w:szCs w:val="28"/>
        </w:rPr>
        <w:t>ия</w:t>
      </w:r>
      <w:r w:rsidRPr="00E36BF2">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A41089">
          <w:rPr>
            <w:rStyle w:val="aa"/>
            <w:color w:val="auto"/>
            <w:sz w:val="28"/>
            <w:szCs w:val="28"/>
            <w:u w:val="none"/>
          </w:rPr>
          <w:t>законодательством</w:t>
        </w:r>
      </w:hyperlink>
      <w:r w:rsidRPr="00E36BF2">
        <w:rPr>
          <w:sz w:val="28"/>
          <w:szCs w:val="28"/>
        </w:rPr>
        <w:t xml:space="preserve"> РФ. Бюджетные ассигнования из дорожного фонда будут направлены на поддержание в надлежащем состоянии автомобильных дорог и постепенное сокращение дорог, не отвечающих нормативным требованиям;</w:t>
      </w:r>
    </w:p>
    <w:p w:rsidR="00E70F4A" w:rsidRPr="00E36BF2" w:rsidRDefault="00E70F4A" w:rsidP="00514771">
      <w:pPr>
        <w:ind w:firstLine="567"/>
        <w:jc w:val="both"/>
        <w:rPr>
          <w:sz w:val="28"/>
          <w:szCs w:val="28"/>
        </w:rPr>
      </w:pPr>
      <w:r>
        <w:rPr>
          <w:sz w:val="28"/>
          <w:szCs w:val="28"/>
        </w:rPr>
        <w:t>- на материально- техническое и финансовое  обеспечение муниципального казенного учреждения «Управление  городским хозяйством».</w:t>
      </w:r>
    </w:p>
    <w:p w:rsidR="00514771" w:rsidRPr="00E36BF2" w:rsidRDefault="00514771" w:rsidP="00514771">
      <w:pPr>
        <w:ind w:firstLine="567"/>
        <w:jc w:val="both"/>
        <w:rPr>
          <w:sz w:val="28"/>
          <w:szCs w:val="28"/>
        </w:rPr>
      </w:pPr>
      <w:r w:rsidRPr="00E36BF2">
        <w:rPr>
          <w:sz w:val="28"/>
          <w:szCs w:val="28"/>
        </w:rPr>
        <w:t>Расходы в части дорожной деятельности будут осуществляться из средств дорожного фонда, формируемого за счет акцизов на нефтепродукты, отчислений от транспортного налога.</w:t>
      </w:r>
    </w:p>
    <w:p w:rsidR="00514771" w:rsidRPr="00E36BF2" w:rsidRDefault="00514771" w:rsidP="00514771">
      <w:pPr>
        <w:ind w:firstLine="567"/>
        <w:jc w:val="both"/>
        <w:rPr>
          <w:sz w:val="28"/>
          <w:szCs w:val="28"/>
        </w:rPr>
      </w:pPr>
      <w:r w:rsidRPr="00E36BF2">
        <w:rPr>
          <w:sz w:val="28"/>
          <w:szCs w:val="28"/>
        </w:rPr>
        <w:t xml:space="preserve">Следует обеспечить неукоснительное выполнение требований Бюджетного кодекса Российской Федерации, касающихся ограничения расходов на содержание  органов местного самоуправления, в пределах утвержденных Губернатором Владимирской области нормативов формирования указанных расходов. </w:t>
      </w:r>
    </w:p>
    <w:p w:rsidR="0019016F" w:rsidRDefault="001272BD" w:rsidP="001272BD">
      <w:pPr>
        <w:tabs>
          <w:tab w:val="left" w:pos="1275"/>
        </w:tabs>
        <w:jc w:val="both"/>
        <w:outlineLvl w:val="0"/>
        <w:rPr>
          <w:sz w:val="28"/>
          <w:szCs w:val="28"/>
        </w:rPr>
      </w:pPr>
      <w:r w:rsidRPr="002D7596">
        <w:rPr>
          <w:b/>
          <w:sz w:val="28"/>
          <w:szCs w:val="28"/>
        </w:rPr>
        <w:t xml:space="preserve">        В сфере межбюджетных отношений</w:t>
      </w:r>
      <w:r>
        <w:rPr>
          <w:b/>
          <w:i/>
          <w:sz w:val="28"/>
          <w:szCs w:val="28"/>
        </w:rPr>
        <w:t xml:space="preserve"> </w:t>
      </w:r>
      <w:r>
        <w:rPr>
          <w:sz w:val="28"/>
          <w:szCs w:val="28"/>
        </w:rPr>
        <w:t xml:space="preserve">в 2021- 2023 годах  бюджетом города Киржач  бюджету муниципального образования </w:t>
      </w:r>
      <w:proofErr w:type="spellStart"/>
      <w:r>
        <w:rPr>
          <w:sz w:val="28"/>
          <w:szCs w:val="28"/>
        </w:rPr>
        <w:t>Киржачский</w:t>
      </w:r>
      <w:proofErr w:type="spellEnd"/>
      <w:r>
        <w:rPr>
          <w:sz w:val="28"/>
          <w:szCs w:val="28"/>
        </w:rPr>
        <w:t xml:space="preserve"> район</w:t>
      </w:r>
      <w:r>
        <w:rPr>
          <w:b/>
          <w:i/>
          <w:sz w:val="28"/>
          <w:szCs w:val="28"/>
        </w:rPr>
        <w:t xml:space="preserve"> </w:t>
      </w:r>
      <w:r>
        <w:rPr>
          <w:sz w:val="28"/>
          <w:szCs w:val="28"/>
        </w:rPr>
        <w:t>будут переданы полномочия:</w:t>
      </w:r>
    </w:p>
    <w:p w:rsidR="001272BD" w:rsidRPr="00CD1CA1" w:rsidRDefault="001272BD" w:rsidP="00CD1CA1">
      <w:pPr>
        <w:pStyle w:val="ConsPlusNormal"/>
        <w:ind w:firstLine="540"/>
        <w:jc w:val="both"/>
        <w:rPr>
          <w:rFonts w:ascii="Times New Roman" w:hAnsi="Times New Roman" w:cs="Times New Roman"/>
          <w:sz w:val="28"/>
          <w:szCs w:val="28"/>
        </w:rPr>
      </w:pPr>
      <w:r w:rsidRPr="00FC3607">
        <w:rPr>
          <w:rFonts w:ascii="Times New Roman" w:hAnsi="Times New Roman" w:cs="Times New Roman"/>
          <w:sz w:val="28"/>
          <w:szCs w:val="28"/>
        </w:rPr>
        <w:t xml:space="preserve">     -  в части осуществления в установленном порядке сбора и обмена информацией в области защиты населения и территорий от чрезвычайных ситуаций природного и техногенного характера (содержание ЕДДС муниципального образования </w:t>
      </w:r>
      <w:proofErr w:type="spellStart"/>
      <w:r w:rsidRPr="00FC3607">
        <w:rPr>
          <w:rFonts w:ascii="Times New Roman" w:hAnsi="Times New Roman" w:cs="Times New Roman"/>
          <w:sz w:val="28"/>
          <w:szCs w:val="28"/>
        </w:rPr>
        <w:t>Киржачский</w:t>
      </w:r>
      <w:proofErr w:type="spellEnd"/>
      <w:r w:rsidRPr="00FC3607">
        <w:rPr>
          <w:rFonts w:ascii="Times New Roman" w:hAnsi="Times New Roman" w:cs="Times New Roman"/>
          <w:sz w:val="28"/>
          <w:szCs w:val="28"/>
        </w:rPr>
        <w:t xml:space="preserve"> район)</w:t>
      </w:r>
      <w:r w:rsidR="00FC3607" w:rsidRPr="00FC3607">
        <w:rPr>
          <w:rFonts w:ascii="Times New Roman" w:hAnsi="Times New Roman" w:cs="Times New Roman"/>
          <w:sz w:val="28"/>
          <w:szCs w:val="28"/>
        </w:rPr>
        <w:t xml:space="preserve"> исходя </w:t>
      </w:r>
      <w:r w:rsidR="00FC3607" w:rsidRPr="001F41B1">
        <w:rPr>
          <w:rFonts w:ascii="Times New Roman" w:hAnsi="Times New Roman" w:cs="Times New Roman"/>
          <w:sz w:val="28"/>
          <w:szCs w:val="28"/>
        </w:rPr>
        <w:t>из чи</w:t>
      </w:r>
      <w:r w:rsidR="00FC3607">
        <w:rPr>
          <w:rFonts w:ascii="Times New Roman" w:hAnsi="Times New Roman" w:cs="Times New Roman"/>
          <w:sz w:val="28"/>
          <w:szCs w:val="28"/>
        </w:rPr>
        <w:t>сленности постоянного населения</w:t>
      </w:r>
      <w:r w:rsidR="00CD1CA1">
        <w:rPr>
          <w:rFonts w:ascii="Times New Roman" w:hAnsi="Times New Roman" w:cs="Times New Roman"/>
          <w:sz w:val="28"/>
          <w:szCs w:val="28"/>
        </w:rPr>
        <w:t>;</w:t>
      </w:r>
    </w:p>
    <w:p w:rsidR="001272BD" w:rsidRDefault="001272BD" w:rsidP="001272BD">
      <w:pPr>
        <w:tabs>
          <w:tab w:val="left" w:pos="1275"/>
        </w:tabs>
        <w:jc w:val="both"/>
        <w:outlineLvl w:val="0"/>
        <w:rPr>
          <w:sz w:val="28"/>
          <w:szCs w:val="28"/>
        </w:rPr>
      </w:pPr>
      <w:r>
        <w:rPr>
          <w:sz w:val="28"/>
          <w:szCs w:val="28"/>
        </w:rPr>
        <w:t xml:space="preserve">  -  по предоставлению социальных выплат многодетным семьям на  строительство индивидуального жилого дома в границах поселения в рамках реализации подпрограммы «Обеспечение жильем  многодетных семей муниципального образования город Киржач» муниципальной программы «Обеспечение доступным и комфортным жильем населения  города Киржач».</w:t>
      </w:r>
    </w:p>
    <w:p w:rsidR="00514771" w:rsidRPr="00E36BF2" w:rsidRDefault="00514771" w:rsidP="00902FC4">
      <w:pPr>
        <w:pStyle w:val="ConsPlusNormal"/>
        <w:ind w:firstLine="0"/>
        <w:outlineLvl w:val="0"/>
        <w:rPr>
          <w:rFonts w:ascii="Times New Roman" w:hAnsi="Times New Roman" w:cs="Times New Roman"/>
          <w:sz w:val="28"/>
          <w:szCs w:val="28"/>
        </w:rPr>
      </w:pPr>
    </w:p>
    <w:p w:rsidR="00514771" w:rsidRPr="00E36BF2" w:rsidRDefault="00514771" w:rsidP="00514771">
      <w:pPr>
        <w:pStyle w:val="ConsPlusNormal"/>
        <w:ind w:firstLine="0"/>
        <w:jc w:val="center"/>
        <w:outlineLvl w:val="0"/>
        <w:rPr>
          <w:rFonts w:ascii="Times New Roman" w:hAnsi="Times New Roman" w:cs="Times New Roman"/>
          <w:b/>
          <w:sz w:val="28"/>
          <w:szCs w:val="28"/>
        </w:rPr>
      </w:pPr>
      <w:r w:rsidRPr="00E36BF2">
        <w:rPr>
          <w:rFonts w:ascii="Times New Roman" w:hAnsi="Times New Roman" w:cs="Times New Roman"/>
          <w:b/>
          <w:sz w:val="28"/>
          <w:szCs w:val="28"/>
        </w:rPr>
        <w:lastRenderedPageBreak/>
        <w:t xml:space="preserve">3. Основные  подходы  </w:t>
      </w:r>
    </w:p>
    <w:p w:rsidR="00514771" w:rsidRPr="00E36BF2" w:rsidRDefault="00514771" w:rsidP="00514771">
      <w:pPr>
        <w:pStyle w:val="ConsPlusNormal"/>
        <w:ind w:firstLine="0"/>
        <w:jc w:val="center"/>
        <w:outlineLvl w:val="0"/>
        <w:rPr>
          <w:rFonts w:ascii="Times New Roman" w:hAnsi="Times New Roman" w:cs="Times New Roman"/>
          <w:b/>
          <w:sz w:val="28"/>
          <w:szCs w:val="28"/>
        </w:rPr>
      </w:pPr>
      <w:r w:rsidRPr="00E36BF2">
        <w:rPr>
          <w:rFonts w:ascii="Times New Roman" w:hAnsi="Times New Roman" w:cs="Times New Roman"/>
          <w:b/>
          <w:sz w:val="28"/>
          <w:szCs w:val="28"/>
        </w:rPr>
        <w:t>к формированию бюджетных расходов на 2021-2023 годы</w:t>
      </w:r>
    </w:p>
    <w:p w:rsidR="00514771" w:rsidRPr="00E36BF2" w:rsidRDefault="00514771" w:rsidP="00514771">
      <w:pPr>
        <w:pStyle w:val="ConsPlusNormal"/>
        <w:jc w:val="both"/>
        <w:rPr>
          <w:rFonts w:ascii="Times New Roman" w:hAnsi="Times New Roman" w:cs="Times New Roman"/>
          <w:sz w:val="28"/>
          <w:szCs w:val="28"/>
        </w:rPr>
      </w:pP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За основу планирования расход</w:t>
      </w:r>
      <w:r w:rsidR="00B1762E">
        <w:rPr>
          <w:rFonts w:ascii="Times New Roman" w:hAnsi="Times New Roman" w:cs="Times New Roman"/>
          <w:sz w:val="28"/>
          <w:szCs w:val="28"/>
        </w:rPr>
        <w:t>ов бюджета города</w:t>
      </w:r>
      <w:r w:rsidRPr="00E36BF2">
        <w:rPr>
          <w:rFonts w:ascii="Times New Roman" w:hAnsi="Times New Roman" w:cs="Times New Roman"/>
          <w:sz w:val="28"/>
          <w:szCs w:val="28"/>
        </w:rPr>
        <w:t xml:space="preserve"> на 2021-2023 годы приняты бюджетные ассигнования на 2020 год, уточненные в июле текущего года. При этом в полном объеме учтены расходы на выполнение указов Президента Российской Федерации.</w:t>
      </w: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 и по зависящим от макроэкономических показателей, которые уточняются при формировании проек</w:t>
      </w:r>
      <w:r w:rsidR="00B1762E">
        <w:rPr>
          <w:rFonts w:ascii="Times New Roman" w:hAnsi="Times New Roman" w:cs="Times New Roman"/>
          <w:sz w:val="28"/>
          <w:szCs w:val="28"/>
        </w:rPr>
        <w:t>та бюджета города</w:t>
      </w:r>
      <w:r w:rsidRPr="00E36BF2">
        <w:rPr>
          <w:rFonts w:ascii="Times New Roman" w:hAnsi="Times New Roman" w:cs="Times New Roman"/>
          <w:sz w:val="28"/>
          <w:szCs w:val="28"/>
        </w:rPr>
        <w:t xml:space="preserve"> в следующем бюджетном цикле.</w:t>
      </w: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Объем бюджетных ассигнований на исполнение принимаемых обязательств на 2021-2023 годы определен исходя из допустимого размера дефици</w:t>
      </w:r>
      <w:r w:rsidR="00B1762E">
        <w:rPr>
          <w:rFonts w:ascii="Times New Roman" w:hAnsi="Times New Roman" w:cs="Times New Roman"/>
          <w:sz w:val="28"/>
          <w:szCs w:val="28"/>
        </w:rPr>
        <w:t>та бюджета города</w:t>
      </w:r>
      <w:r w:rsidRPr="00E36BF2">
        <w:rPr>
          <w:rFonts w:ascii="Times New Roman" w:hAnsi="Times New Roman" w:cs="Times New Roman"/>
          <w:sz w:val="28"/>
          <w:szCs w:val="28"/>
        </w:rPr>
        <w:t>:</w:t>
      </w:r>
    </w:p>
    <w:p w:rsidR="00514771" w:rsidRPr="003C42B0" w:rsidRDefault="003C42B0" w:rsidP="005147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2021 год – 7497,4 тысяч рублей (не более 5</w:t>
      </w:r>
      <w:r w:rsidR="00514771" w:rsidRPr="003C42B0">
        <w:rPr>
          <w:rFonts w:ascii="Times New Roman" w:hAnsi="Times New Roman" w:cs="Times New Roman"/>
          <w:sz w:val="28"/>
          <w:szCs w:val="28"/>
        </w:rPr>
        <w:t>% от объема налоговых и неналоговых поступлений), из них источником финансирования д</w:t>
      </w:r>
      <w:r>
        <w:rPr>
          <w:rFonts w:ascii="Times New Roman" w:hAnsi="Times New Roman" w:cs="Times New Roman"/>
          <w:sz w:val="28"/>
          <w:szCs w:val="28"/>
        </w:rPr>
        <w:t>ефицита бюджета в сумме 7497,4</w:t>
      </w:r>
      <w:r w:rsidR="00514771" w:rsidRPr="003C42B0">
        <w:rPr>
          <w:rFonts w:ascii="Times New Roman" w:hAnsi="Times New Roman" w:cs="Times New Roman"/>
          <w:sz w:val="28"/>
          <w:szCs w:val="28"/>
        </w:rPr>
        <w:t xml:space="preserve"> тысяч рублей являются кредиты кредитных организаций;</w:t>
      </w:r>
    </w:p>
    <w:p w:rsidR="00514771" w:rsidRPr="000715C6" w:rsidRDefault="008B1879" w:rsidP="005147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2022 год – 7488,7 тысяч рублей (не более 5</w:t>
      </w:r>
      <w:r w:rsidR="00514771" w:rsidRPr="000715C6">
        <w:rPr>
          <w:rFonts w:ascii="Times New Roman" w:hAnsi="Times New Roman" w:cs="Times New Roman"/>
          <w:sz w:val="28"/>
          <w:szCs w:val="28"/>
        </w:rPr>
        <w:t>% от объема налоговых и неналоговых поступлений), из них источником финансирования д</w:t>
      </w:r>
      <w:r>
        <w:rPr>
          <w:rFonts w:ascii="Times New Roman" w:hAnsi="Times New Roman" w:cs="Times New Roman"/>
          <w:sz w:val="28"/>
          <w:szCs w:val="28"/>
        </w:rPr>
        <w:t>ефицита бюджета в сумме 7488,7</w:t>
      </w:r>
      <w:r w:rsidR="00514771" w:rsidRPr="000715C6">
        <w:rPr>
          <w:rFonts w:ascii="Times New Roman" w:hAnsi="Times New Roman" w:cs="Times New Roman"/>
          <w:sz w:val="28"/>
          <w:szCs w:val="28"/>
        </w:rPr>
        <w:t xml:space="preserve"> тысяч рублей являются кредиты кредитных организаций;</w:t>
      </w:r>
    </w:p>
    <w:p w:rsidR="00514771" w:rsidRPr="00C93E88" w:rsidRDefault="00474384" w:rsidP="005147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2023 год – 7721,0 тысяч рублей (не более 5</w:t>
      </w:r>
      <w:r w:rsidR="00514771" w:rsidRPr="00C93E88">
        <w:rPr>
          <w:rFonts w:ascii="Times New Roman" w:hAnsi="Times New Roman" w:cs="Times New Roman"/>
          <w:sz w:val="28"/>
          <w:szCs w:val="28"/>
        </w:rPr>
        <w:t>% от объема налоговых и неналоговых поступлений), из них источником финансирования д</w:t>
      </w:r>
      <w:r>
        <w:rPr>
          <w:rFonts w:ascii="Times New Roman" w:hAnsi="Times New Roman" w:cs="Times New Roman"/>
          <w:sz w:val="28"/>
          <w:szCs w:val="28"/>
        </w:rPr>
        <w:t>ефицита бюджета в сумме 7721,0</w:t>
      </w:r>
      <w:r w:rsidR="00514771" w:rsidRPr="00C93E88">
        <w:rPr>
          <w:rFonts w:ascii="Times New Roman" w:hAnsi="Times New Roman" w:cs="Times New Roman"/>
          <w:sz w:val="28"/>
          <w:szCs w:val="28"/>
        </w:rPr>
        <w:t xml:space="preserve"> тысяч рублей являются кредиты кредитных организаций.</w:t>
      </w: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Изменение действующих расходных обязательств определено в соответствии с муници</w:t>
      </w:r>
      <w:r w:rsidR="00B1762E">
        <w:rPr>
          <w:rFonts w:ascii="Times New Roman" w:hAnsi="Times New Roman" w:cs="Times New Roman"/>
          <w:sz w:val="28"/>
          <w:szCs w:val="28"/>
        </w:rPr>
        <w:t>пальными правовыми актами города</w:t>
      </w:r>
      <w:r w:rsidRPr="00E36BF2">
        <w:rPr>
          <w:rFonts w:ascii="Times New Roman" w:hAnsi="Times New Roman" w:cs="Times New Roman"/>
          <w:sz w:val="28"/>
          <w:szCs w:val="28"/>
        </w:rPr>
        <w:t>, принятыми и действующими в 2020 году. В их составе уточнены установленные объемы расходов на оплату труда в бюджетной сфере на 2021-2023 годы.</w:t>
      </w: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 xml:space="preserve">Увеличены бюджетные ассигнования на 2021-2023 годы на прогнозируемое повышение минимального </w:t>
      </w:r>
      <w:proofErr w:type="gramStart"/>
      <w:r w:rsidRPr="00E36BF2">
        <w:rPr>
          <w:rFonts w:ascii="Times New Roman" w:hAnsi="Times New Roman" w:cs="Times New Roman"/>
          <w:sz w:val="28"/>
          <w:szCs w:val="28"/>
        </w:rPr>
        <w:t>размера оплаты труда</w:t>
      </w:r>
      <w:proofErr w:type="gramEnd"/>
      <w:r w:rsidRPr="00E36BF2">
        <w:rPr>
          <w:rFonts w:ascii="Times New Roman" w:hAnsi="Times New Roman" w:cs="Times New Roman"/>
          <w:sz w:val="28"/>
          <w:szCs w:val="28"/>
        </w:rPr>
        <w:t xml:space="preserve"> с 1 января 2021 года до уровня 12 392,00 рублей.</w:t>
      </w: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Увеличены бюджетные ассигнования на оплату труда работников районных муниципальных учреждений, непоименованных в указах Президента Российской Федерации (2012 года),  на 2021-2023 годы на уровень 3,0%.</w:t>
      </w:r>
    </w:p>
    <w:p w:rsidR="00514771" w:rsidRPr="00E36BF2" w:rsidRDefault="00514771" w:rsidP="00514771">
      <w:pPr>
        <w:pStyle w:val="ConsPlusNormal"/>
        <w:ind w:firstLine="540"/>
        <w:jc w:val="both"/>
        <w:rPr>
          <w:rFonts w:ascii="Times New Roman" w:hAnsi="Times New Roman" w:cs="Times New Roman"/>
          <w:sz w:val="28"/>
          <w:szCs w:val="28"/>
        </w:rPr>
      </w:pPr>
      <w:proofErr w:type="gramStart"/>
      <w:r w:rsidRPr="00E36BF2">
        <w:rPr>
          <w:rFonts w:ascii="Times New Roman" w:hAnsi="Times New Roman" w:cs="Times New Roman"/>
          <w:sz w:val="28"/>
          <w:szCs w:val="28"/>
        </w:rPr>
        <w:t>В соответствии со статьей 184.1 Бюджетного кодекса Российской Федерации в составе расход</w:t>
      </w:r>
      <w:r w:rsidR="00FF5A0C">
        <w:rPr>
          <w:rFonts w:ascii="Times New Roman" w:hAnsi="Times New Roman" w:cs="Times New Roman"/>
          <w:sz w:val="28"/>
          <w:szCs w:val="28"/>
        </w:rPr>
        <w:t>ов бюджета города</w:t>
      </w:r>
      <w:r w:rsidRPr="00E36BF2">
        <w:rPr>
          <w:rFonts w:ascii="Times New Roman" w:hAnsi="Times New Roman" w:cs="Times New Roman"/>
          <w:sz w:val="28"/>
          <w:szCs w:val="28"/>
        </w:rPr>
        <w:t xml:space="preserve"> предусмотрены условно утверждаемые расходы, которые составят в 2022 году не менее 2,5% об общего объема расходов 2022 года (без учета расходов, предусмотренных за счет целевых межбюджетных трансфертов из других бюджетов), и в 2023 году – не менее 5% от общего объема расходов 2023 года (без учета расходов</w:t>
      </w:r>
      <w:proofErr w:type="gramEnd"/>
      <w:r w:rsidRPr="00E36BF2">
        <w:rPr>
          <w:rFonts w:ascii="Times New Roman" w:hAnsi="Times New Roman" w:cs="Times New Roman"/>
          <w:sz w:val="28"/>
          <w:szCs w:val="28"/>
        </w:rPr>
        <w:t>, предусмотренных за счет целевых межбюджетных трансфертов из других бюджетов).</w:t>
      </w:r>
    </w:p>
    <w:p w:rsidR="00997222" w:rsidRPr="00652352" w:rsidRDefault="00514771" w:rsidP="00652352">
      <w:pPr>
        <w:pStyle w:val="ConsPlusNormal"/>
        <w:ind w:firstLine="540"/>
        <w:jc w:val="both"/>
        <w:rPr>
          <w:rFonts w:ascii="Times New Roman" w:hAnsi="Times New Roman" w:cs="Times New Roman"/>
          <w:sz w:val="28"/>
          <w:szCs w:val="28"/>
        </w:rPr>
      </w:pPr>
      <w:proofErr w:type="gramStart"/>
      <w:r w:rsidRPr="00E36BF2">
        <w:rPr>
          <w:rFonts w:ascii="Times New Roman" w:hAnsi="Times New Roman" w:cs="Times New Roman"/>
          <w:sz w:val="28"/>
          <w:szCs w:val="28"/>
        </w:rPr>
        <w:t>Объем бюджетных ассигнований по отношению к объему, утвержденному настоящим постановлением, может быть изменен в связи с  уточнением прогнозных оценок администраторов доходов по поступлению доходо</w:t>
      </w:r>
      <w:r w:rsidR="00FF5A0C">
        <w:rPr>
          <w:rFonts w:ascii="Times New Roman" w:hAnsi="Times New Roman" w:cs="Times New Roman"/>
          <w:sz w:val="28"/>
          <w:szCs w:val="28"/>
        </w:rPr>
        <w:t>в в бюджет города</w:t>
      </w:r>
      <w:r w:rsidRPr="00E36BF2">
        <w:rPr>
          <w:rFonts w:ascii="Times New Roman" w:hAnsi="Times New Roman" w:cs="Times New Roman"/>
          <w:sz w:val="28"/>
          <w:szCs w:val="28"/>
        </w:rPr>
        <w:t>, с учетом мероприятий по оптимизации расход</w:t>
      </w:r>
      <w:r w:rsidR="00FF5A0C">
        <w:rPr>
          <w:rFonts w:ascii="Times New Roman" w:hAnsi="Times New Roman" w:cs="Times New Roman"/>
          <w:sz w:val="28"/>
          <w:szCs w:val="28"/>
        </w:rPr>
        <w:t>ов бюджета города</w:t>
      </w:r>
      <w:r w:rsidRPr="00E36BF2">
        <w:rPr>
          <w:rFonts w:ascii="Times New Roman" w:hAnsi="Times New Roman" w:cs="Times New Roman"/>
          <w:sz w:val="28"/>
          <w:szCs w:val="28"/>
        </w:rPr>
        <w:t>, отсутствием утвержденных муниципальных программ и  изменением объемов межбюджетных трансфертов из обла</w:t>
      </w:r>
      <w:r w:rsidR="00FF5A0C">
        <w:rPr>
          <w:rFonts w:ascii="Times New Roman" w:hAnsi="Times New Roman" w:cs="Times New Roman"/>
          <w:sz w:val="28"/>
          <w:szCs w:val="28"/>
        </w:rPr>
        <w:t>стного бюджета</w:t>
      </w:r>
      <w:r w:rsidRPr="00E36BF2">
        <w:rPr>
          <w:rFonts w:ascii="Times New Roman" w:hAnsi="Times New Roman" w:cs="Times New Roman"/>
          <w:sz w:val="28"/>
          <w:szCs w:val="28"/>
        </w:rPr>
        <w:t xml:space="preserve"> и перерасп</w:t>
      </w:r>
      <w:r w:rsidR="00FF5A0C">
        <w:rPr>
          <w:rFonts w:ascii="Times New Roman" w:hAnsi="Times New Roman" w:cs="Times New Roman"/>
          <w:sz w:val="28"/>
          <w:szCs w:val="28"/>
        </w:rPr>
        <w:t>ределен между получателями</w:t>
      </w:r>
      <w:r w:rsidRPr="00E36BF2">
        <w:rPr>
          <w:rFonts w:ascii="Times New Roman" w:hAnsi="Times New Roman" w:cs="Times New Roman"/>
          <w:sz w:val="28"/>
          <w:szCs w:val="28"/>
        </w:rPr>
        <w:t xml:space="preserve"> средс</w:t>
      </w:r>
      <w:r w:rsidR="00FF5A0C">
        <w:rPr>
          <w:rFonts w:ascii="Times New Roman" w:hAnsi="Times New Roman" w:cs="Times New Roman"/>
          <w:sz w:val="28"/>
          <w:szCs w:val="28"/>
        </w:rPr>
        <w:t xml:space="preserve">тв из  бюджета города </w:t>
      </w:r>
      <w:r w:rsidRPr="00E36BF2">
        <w:rPr>
          <w:rFonts w:ascii="Times New Roman" w:hAnsi="Times New Roman" w:cs="Times New Roman"/>
          <w:sz w:val="28"/>
          <w:szCs w:val="28"/>
        </w:rPr>
        <w:t xml:space="preserve"> в случае изменения их функций</w:t>
      </w:r>
      <w:proofErr w:type="gramEnd"/>
      <w:r w:rsidRPr="00E36BF2">
        <w:rPr>
          <w:rFonts w:ascii="Times New Roman" w:hAnsi="Times New Roman" w:cs="Times New Roman"/>
          <w:sz w:val="28"/>
          <w:szCs w:val="28"/>
        </w:rPr>
        <w:t xml:space="preserve"> и полномочий.</w:t>
      </w:r>
    </w:p>
    <w:p w:rsidR="00997222" w:rsidRDefault="00997222" w:rsidP="00514771">
      <w:pPr>
        <w:ind w:left="6480"/>
        <w:jc w:val="right"/>
        <w:rPr>
          <w:sz w:val="28"/>
          <w:szCs w:val="28"/>
        </w:rPr>
      </w:pPr>
    </w:p>
    <w:p w:rsidR="00997222" w:rsidRPr="00652352" w:rsidRDefault="00997222" w:rsidP="00514771">
      <w:pPr>
        <w:ind w:left="6480"/>
        <w:jc w:val="right"/>
      </w:pPr>
    </w:p>
    <w:p w:rsidR="00514771" w:rsidRPr="00652352" w:rsidRDefault="00514771" w:rsidP="00514771">
      <w:pPr>
        <w:ind w:left="6480"/>
        <w:jc w:val="right"/>
      </w:pPr>
      <w:r w:rsidRPr="00652352">
        <w:t xml:space="preserve">   Приложение 3         </w:t>
      </w:r>
    </w:p>
    <w:p w:rsidR="00514771" w:rsidRPr="00652352" w:rsidRDefault="00514771" w:rsidP="00514771">
      <w:pPr>
        <w:ind w:left="4820"/>
        <w:jc w:val="right"/>
      </w:pPr>
      <w:r w:rsidRPr="00652352">
        <w:t xml:space="preserve"> к по</w:t>
      </w:r>
      <w:r w:rsidR="00FF5A0C" w:rsidRPr="00652352">
        <w:t>становлению администрации города</w:t>
      </w:r>
      <w:r w:rsidRPr="00652352">
        <w:t xml:space="preserve"> </w:t>
      </w:r>
    </w:p>
    <w:p w:rsidR="00514771" w:rsidRPr="00652352" w:rsidRDefault="00680D27" w:rsidP="00514771">
      <w:pPr>
        <w:ind w:left="6480"/>
        <w:jc w:val="right"/>
      </w:pPr>
      <w:r>
        <w:t>от 30.09</w:t>
      </w:r>
      <w:r w:rsidR="00FF5A0C" w:rsidRPr="00652352">
        <w:t>.2020 № 675</w:t>
      </w:r>
    </w:p>
    <w:p w:rsidR="00514771" w:rsidRPr="00E36BF2" w:rsidRDefault="00514771" w:rsidP="00514771">
      <w:pPr>
        <w:ind w:left="6480"/>
        <w:rPr>
          <w:sz w:val="28"/>
          <w:szCs w:val="28"/>
        </w:rPr>
      </w:pPr>
    </w:p>
    <w:p w:rsidR="00514771" w:rsidRPr="00E36BF2" w:rsidRDefault="00514771" w:rsidP="00514771">
      <w:pPr>
        <w:pStyle w:val="ConsPlusNormal"/>
        <w:ind w:firstLine="0"/>
        <w:jc w:val="both"/>
        <w:rPr>
          <w:rFonts w:ascii="Times New Roman" w:hAnsi="Times New Roman" w:cs="Times New Roman"/>
          <w:b/>
          <w:sz w:val="28"/>
          <w:szCs w:val="28"/>
        </w:rPr>
      </w:pPr>
      <w:r w:rsidRPr="00E36BF2">
        <w:rPr>
          <w:rFonts w:ascii="Times New Roman" w:hAnsi="Times New Roman" w:cs="Times New Roman"/>
          <w:sz w:val="28"/>
          <w:szCs w:val="28"/>
        </w:rPr>
        <w:t xml:space="preserve">                 </w:t>
      </w:r>
      <w:r w:rsidRPr="00E36BF2">
        <w:rPr>
          <w:rFonts w:ascii="Times New Roman" w:hAnsi="Times New Roman" w:cs="Times New Roman"/>
          <w:b/>
          <w:sz w:val="28"/>
          <w:szCs w:val="28"/>
        </w:rPr>
        <w:t>Основные направления долг</w:t>
      </w:r>
      <w:r w:rsidR="00FF5A0C">
        <w:rPr>
          <w:rFonts w:ascii="Times New Roman" w:hAnsi="Times New Roman" w:cs="Times New Roman"/>
          <w:b/>
          <w:sz w:val="28"/>
          <w:szCs w:val="28"/>
        </w:rPr>
        <w:t>овой политики города Киржач</w:t>
      </w:r>
    </w:p>
    <w:p w:rsidR="00514771" w:rsidRPr="00E36BF2" w:rsidRDefault="00514771" w:rsidP="00514771">
      <w:pPr>
        <w:pStyle w:val="ConsPlusNormal"/>
        <w:ind w:firstLine="0"/>
        <w:jc w:val="both"/>
        <w:rPr>
          <w:rFonts w:ascii="Times New Roman" w:hAnsi="Times New Roman" w:cs="Times New Roman"/>
          <w:b/>
          <w:sz w:val="28"/>
          <w:szCs w:val="28"/>
        </w:rPr>
      </w:pPr>
      <w:r w:rsidRPr="00E36BF2">
        <w:rPr>
          <w:rFonts w:ascii="Times New Roman" w:hAnsi="Times New Roman" w:cs="Times New Roman"/>
          <w:b/>
          <w:sz w:val="28"/>
          <w:szCs w:val="28"/>
        </w:rPr>
        <w:t xml:space="preserve">                          на 2021 год и на плановый период 2022 и 2023 годов </w:t>
      </w:r>
    </w:p>
    <w:p w:rsidR="00514771" w:rsidRPr="00E36BF2" w:rsidRDefault="00514771" w:rsidP="00514771">
      <w:pPr>
        <w:pStyle w:val="ConsPlusNormal"/>
        <w:ind w:firstLine="540"/>
        <w:jc w:val="both"/>
        <w:rPr>
          <w:rFonts w:ascii="Times New Roman" w:hAnsi="Times New Roman" w:cs="Times New Roman"/>
          <w:b/>
          <w:sz w:val="28"/>
          <w:szCs w:val="28"/>
        </w:rPr>
      </w:pPr>
    </w:p>
    <w:p w:rsidR="00C14141" w:rsidRDefault="00514771" w:rsidP="00C1414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Основные направления долговой политики муниципальн</w:t>
      </w:r>
      <w:r w:rsidR="00FF5A0C">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на 2021 год и на плановый период 2022 и 2023 годов разработаны в целях обеспечения эффективного управления муниципальным долгом муниципального образования</w:t>
      </w:r>
      <w:r w:rsidR="00FF5A0C">
        <w:rPr>
          <w:rFonts w:ascii="Times New Roman" w:hAnsi="Times New Roman" w:cs="Times New Roman"/>
          <w:sz w:val="28"/>
          <w:szCs w:val="28"/>
        </w:rPr>
        <w:t xml:space="preserve"> город Киржач </w:t>
      </w:r>
      <w:proofErr w:type="spellStart"/>
      <w:r w:rsidR="00FF5A0C">
        <w:rPr>
          <w:rFonts w:ascii="Times New Roman" w:hAnsi="Times New Roman" w:cs="Times New Roman"/>
          <w:sz w:val="28"/>
          <w:szCs w:val="28"/>
        </w:rPr>
        <w:t>Киржачского</w:t>
      </w:r>
      <w:proofErr w:type="spellEnd"/>
      <w:r w:rsidRPr="00E36BF2">
        <w:rPr>
          <w:rFonts w:ascii="Times New Roman" w:hAnsi="Times New Roman" w:cs="Times New Roman"/>
          <w:sz w:val="28"/>
          <w:szCs w:val="28"/>
        </w:rPr>
        <w:t xml:space="preserve"> район</w:t>
      </w:r>
      <w:r w:rsidR="00FF5A0C">
        <w:rPr>
          <w:rFonts w:ascii="Times New Roman" w:hAnsi="Times New Roman" w:cs="Times New Roman"/>
          <w:sz w:val="28"/>
          <w:szCs w:val="28"/>
        </w:rPr>
        <w:t>а</w:t>
      </w:r>
      <w:r w:rsidRPr="00E36BF2">
        <w:rPr>
          <w:rFonts w:ascii="Times New Roman" w:hAnsi="Times New Roman" w:cs="Times New Roman"/>
          <w:sz w:val="28"/>
          <w:szCs w:val="28"/>
        </w:rPr>
        <w:t>.</w:t>
      </w:r>
    </w:p>
    <w:p w:rsidR="00514771" w:rsidRDefault="00514771" w:rsidP="00C1414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 xml:space="preserve">При подготовке основных направлений долговой политики учтены положения основных направлений бюджетной и налоговой политики муниципального образования </w:t>
      </w:r>
      <w:r w:rsidR="00C14141">
        <w:rPr>
          <w:rFonts w:ascii="Times New Roman" w:hAnsi="Times New Roman" w:cs="Times New Roman"/>
          <w:sz w:val="28"/>
          <w:szCs w:val="28"/>
        </w:rPr>
        <w:t xml:space="preserve"> город Киржач </w:t>
      </w:r>
      <w:proofErr w:type="spellStart"/>
      <w:r w:rsidR="00C14141">
        <w:rPr>
          <w:rFonts w:ascii="Times New Roman" w:hAnsi="Times New Roman" w:cs="Times New Roman"/>
          <w:sz w:val="28"/>
          <w:szCs w:val="28"/>
        </w:rPr>
        <w:t>Киржачского</w:t>
      </w:r>
      <w:proofErr w:type="spellEnd"/>
      <w:r w:rsidRPr="00E36BF2">
        <w:rPr>
          <w:rFonts w:ascii="Times New Roman" w:hAnsi="Times New Roman" w:cs="Times New Roman"/>
          <w:sz w:val="28"/>
          <w:szCs w:val="28"/>
        </w:rPr>
        <w:t xml:space="preserve"> район</w:t>
      </w:r>
      <w:r w:rsidR="00C14141">
        <w:rPr>
          <w:rFonts w:ascii="Times New Roman" w:hAnsi="Times New Roman" w:cs="Times New Roman"/>
          <w:sz w:val="28"/>
          <w:szCs w:val="28"/>
        </w:rPr>
        <w:t>а</w:t>
      </w:r>
      <w:r w:rsidRPr="00E36BF2">
        <w:rPr>
          <w:rFonts w:ascii="Times New Roman" w:hAnsi="Times New Roman" w:cs="Times New Roman"/>
          <w:sz w:val="28"/>
          <w:szCs w:val="28"/>
        </w:rPr>
        <w:t xml:space="preserve"> на 2021 год и плановый период 2022 и 2023 годов.</w:t>
      </w:r>
    </w:p>
    <w:p w:rsidR="007164DF" w:rsidRDefault="007164DF" w:rsidP="007164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Долговая политика  муниципального образования город Киржач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 как составная часть бюджетной политики в 2021-2023 годах призвана обеспечить последовательность реализации целей и задач предыдущего </w:t>
      </w:r>
      <w:proofErr w:type="gramStart"/>
      <w:r>
        <w:rPr>
          <w:rFonts w:ascii="Times New Roman" w:hAnsi="Times New Roman" w:cs="Times New Roman"/>
          <w:sz w:val="28"/>
          <w:szCs w:val="28"/>
        </w:rPr>
        <w:t>периода</w:t>
      </w:r>
      <w:proofErr w:type="gramEnd"/>
      <w:r>
        <w:rPr>
          <w:rFonts w:ascii="Times New Roman" w:hAnsi="Times New Roman" w:cs="Times New Roman"/>
          <w:sz w:val="28"/>
          <w:szCs w:val="28"/>
        </w:rPr>
        <w:t xml:space="preserve"> и ориентирована в первую очередь на реализацию стратегических целей развития города.</w:t>
      </w:r>
    </w:p>
    <w:p w:rsidR="007164DF" w:rsidRDefault="007164DF" w:rsidP="007164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соблюдения принципа сбалансированности бюджета подразумевает возможное привлечение заемных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превышения расходных обязательств над доходами.</w:t>
      </w:r>
    </w:p>
    <w:p w:rsidR="007164DF" w:rsidRDefault="007164DF" w:rsidP="007164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Долговая политика будет направлена на воздержание от существенного наращивания заимствований для того, чтобы ограниченные бюджетные ресурсы полностью направлялись на приоритетные бюджетные расходы и обеспечение социальной направленности бюджета города.</w:t>
      </w:r>
    </w:p>
    <w:p w:rsidR="007164DF" w:rsidRDefault="007164DF" w:rsidP="007164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этой связи основными целями реализации муниципальной долговой политики являются обеспечение сбалансированности бюджета при условии </w:t>
      </w:r>
      <w:proofErr w:type="gramStart"/>
      <w:r>
        <w:rPr>
          <w:rFonts w:ascii="Times New Roman" w:hAnsi="Times New Roman" w:cs="Times New Roman"/>
          <w:sz w:val="28"/>
          <w:szCs w:val="28"/>
        </w:rPr>
        <w:t>сдерживания темпов роста объема муниципального долга</w:t>
      </w:r>
      <w:proofErr w:type="gramEnd"/>
      <w:r>
        <w:rPr>
          <w:rFonts w:ascii="Times New Roman" w:hAnsi="Times New Roman" w:cs="Times New Roman"/>
          <w:sz w:val="28"/>
          <w:szCs w:val="28"/>
        </w:rPr>
        <w:t xml:space="preserve"> и минимизация стоимости его обслуживания.</w:t>
      </w:r>
    </w:p>
    <w:p w:rsidR="007164DF" w:rsidRDefault="007164DF" w:rsidP="007164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Планируется постепенное снижение дефицита бюджета города. Источником финансирования дефицита бюджета города будут выступать кредиты кредитных организаций.</w:t>
      </w:r>
    </w:p>
    <w:p w:rsidR="007164DF" w:rsidRDefault="007164DF" w:rsidP="007164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предстоящий период значения показателей долговой устойчивости будут по-прежнему вне опасных зон. </w:t>
      </w:r>
    </w:p>
    <w:p w:rsidR="00514771" w:rsidRPr="00E36BF2" w:rsidRDefault="00514771" w:rsidP="007164DF">
      <w:pPr>
        <w:pStyle w:val="ConsPlusNormal"/>
        <w:ind w:firstLine="0"/>
        <w:jc w:val="both"/>
        <w:rPr>
          <w:rFonts w:ascii="Times New Roman" w:hAnsi="Times New Roman" w:cs="Times New Roman"/>
          <w:sz w:val="28"/>
          <w:szCs w:val="28"/>
        </w:rPr>
      </w:pPr>
    </w:p>
    <w:p w:rsidR="00514771" w:rsidRPr="00E36BF2" w:rsidRDefault="007164DF" w:rsidP="0051477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00514771" w:rsidRPr="00E36BF2">
        <w:rPr>
          <w:rFonts w:ascii="Times New Roman" w:hAnsi="Times New Roman" w:cs="Times New Roman"/>
          <w:sz w:val="28"/>
          <w:szCs w:val="28"/>
        </w:rPr>
        <w:t>. Основные факторы, определяющие характер и направления</w:t>
      </w:r>
    </w:p>
    <w:p w:rsidR="00514771" w:rsidRPr="00E36BF2" w:rsidRDefault="00514771" w:rsidP="00514771">
      <w:pPr>
        <w:pStyle w:val="ConsPlusTitle"/>
        <w:jc w:val="center"/>
        <w:rPr>
          <w:rFonts w:ascii="Times New Roman" w:hAnsi="Times New Roman" w:cs="Times New Roman"/>
          <w:sz w:val="28"/>
          <w:szCs w:val="28"/>
        </w:rPr>
      </w:pPr>
      <w:r w:rsidRPr="00E36BF2">
        <w:rPr>
          <w:rFonts w:ascii="Times New Roman" w:hAnsi="Times New Roman" w:cs="Times New Roman"/>
          <w:sz w:val="28"/>
          <w:szCs w:val="28"/>
        </w:rPr>
        <w:t>долговой политики муниципальн</w:t>
      </w:r>
      <w:r w:rsidR="008B205A">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на 2021 год и на плановый период 2022 и 2023 годов</w:t>
      </w:r>
    </w:p>
    <w:p w:rsidR="00514771" w:rsidRPr="00E36BF2" w:rsidRDefault="00514771" w:rsidP="00514771">
      <w:pPr>
        <w:pStyle w:val="ConsPlusNormal"/>
        <w:jc w:val="both"/>
        <w:rPr>
          <w:rFonts w:ascii="Times New Roman" w:hAnsi="Times New Roman" w:cs="Times New Roman"/>
          <w:sz w:val="28"/>
          <w:szCs w:val="28"/>
        </w:rPr>
      </w:pP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В планируемом периоде одновременно несколько факторов будут определять характер и направления долговой политики муниципальн</w:t>
      </w:r>
      <w:r w:rsidR="008B205A">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Фактор 1. Макроэкономические условия реализации долговой политики.</w:t>
      </w:r>
    </w:p>
    <w:p w:rsidR="00514771" w:rsidRPr="00E36BF2" w:rsidRDefault="008B205A" w:rsidP="0051477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Для бюджетной системы города</w:t>
      </w:r>
      <w:r w:rsidR="00514771" w:rsidRPr="00E36BF2">
        <w:rPr>
          <w:rFonts w:ascii="Times New Roman" w:hAnsi="Times New Roman" w:cs="Times New Roman"/>
          <w:sz w:val="28"/>
          <w:szCs w:val="28"/>
        </w:rPr>
        <w:t xml:space="preserve"> в 2020 году имеются риски, обусловленные </w:t>
      </w:r>
      <w:r w:rsidR="00514771" w:rsidRPr="00E36BF2">
        <w:rPr>
          <w:rFonts w:ascii="Times New Roman" w:hAnsi="Times New Roman" w:cs="Times New Roman"/>
          <w:sz w:val="28"/>
          <w:szCs w:val="28"/>
        </w:rPr>
        <w:lastRenderedPageBreak/>
        <w:t xml:space="preserve">сложившейся экономической ситуацией в России в связи с распространением </w:t>
      </w:r>
      <w:r w:rsidR="00514771" w:rsidRPr="00E36BF2">
        <w:rPr>
          <w:rFonts w:ascii="Times New Roman" w:hAnsi="Times New Roman" w:cs="Times New Roman"/>
          <w:sz w:val="28"/>
          <w:szCs w:val="28"/>
          <w:lang w:val="en-US"/>
        </w:rPr>
        <w:t>COVID</w:t>
      </w:r>
      <w:r w:rsidR="00514771" w:rsidRPr="00E36BF2">
        <w:rPr>
          <w:rFonts w:ascii="Times New Roman" w:hAnsi="Times New Roman" w:cs="Times New Roman"/>
          <w:sz w:val="28"/>
          <w:szCs w:val="28"/>
        </w:rPr>
        <w:t xml:space="preserve">-19 и принятием мер по устранению последствий </w:t>
      </w:r>
      <w:proofErr w:type="spellStart"/>
      <w:r w:rsidR="00514771" w:rsidRPr="00E36BF2">
        <w:rPr>
          <w:rFonts w:ascii="Times New Roman" w:hAnsi="Times New Roman" w:cs="Times New Roman"/>
          <w:sz w:val="28"/>
          <w:szCs w:val="28"/>
        </w:rPr>
        <w:t>коронавирусной</w:t>
      </w:r>
      <w:proofErr w:type="spellEnd"/>
      <w:r w:rsidR="00514771" w:rsidRPr="00E36BF2">
        <w:rPr>
          <w:rFonts w:ascii="Times New Roman" w:hAnsi="Times New Roman" w:cs="Times New Roman"/>
          <w:sz w:val="28"/>
          <w:szCs w:val="28"/>
        </w:rPr>
        <w:t xml:space="preserve"> инфекции.</w:t>
      </w:r>
    </w:p>
    <w:p w:rsidR="00BD6A3A" w:rsidRDefault="00514771" w:rsidP="00BD6A3A">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В соответствии со сценарными условиями и основными параметрами прогноза социально-экономического развития муниципальн</w:t>
      </w:r>
      <w:r w:rsidR="00BD6A3A">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на 2021-2023 годы реализация долговой политики в предстоящий период будет осуществляться в условиях умеренного ускорен</w:t>
      </w:r>
      <w:r w:rsidR="00BD6A3A">
        <w:rPr>
          <w:rFonts w:ascii="Times New Roman" w:hAnsi="Times New Roman" w:cs="Times New Roman"/>
          <w:sz w:val="28"/>
          <w:szCs w:val="28"/>
        </w:rPr>
        <w:t>ия темпов роста экономики города</w:t>
      </w:r>
      <w:r w:rsidR="00265D55">
        <w:rPr>
          <w:rFonts w:ascii="Times New Roman" w:hAnsi="Times New Roman" w:cs="Times New Roman"/>
          <w:sz w:val="28"/>
          <w:szCs w:val="28"/>
        </w:rPr>
        <w:t>, стабильного уровня инфляции:</w:t>
      </w:r>
    </w:p>
    <w:p w:rsidR="00BD6A3A" w:rsidRDefault="00265D55" w:rsidP="00BD6A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514771" w:rsidRPr="00E36BF2">
        <w:rPr>
          <w:rFonts w:ascii="Times New Roman" w:hAnsi="Times New Roman" w:cs="Times New Roman"/>
          <w:sz w:val="28"/>
          <w:szCs w:val="28"/>
        </w:rPr>
        <w:t xml:space="preserve">а 3,0% вырастет фонд заработной платы работников в 2021 </w:t>
      </w:r>
      <w:r w:rsidR="00BD6A3A">
        <w:rPr>
          <w:rFonts w:ascii="Times New Roman" w:hAnsi="Times New Roman" w:cs="Times New Roman"/>
          <w:sz w:val="28"/>
          <w:szCs w:val="28"/>
        </w:rPr>
        <w:t>году</w:t>
      </w:r>
      <w:r>
        <w:rPr>
          <w:rFonts w:ascii="Times New Roman" w:hAnsi="Times New Roman" w:cs="Times New Roman"/>
          <w:sz w:val="28"/>
          <w:szCs w:val="28"/>
        </w:rPr>
        <w:t>;</w:t>
      </w:r>
    </w:p>
    <w:p w:rsidR="00BD6A3A" w:rsidRDefault="00265D55" w:rsidP="00BD6A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и</w:t>
      </w:r>
      <w:r w:rsidR="00514771" w:rsidRPr="00E36BF2">
        <w:rPr>
          <w:rFonts w:ascii="Times New Roman" w:hAnsi="Times New Roman" w:cs="Times New Roman"/>
          <w:sz w:val="28"/>
          <w:szCs w:val="28"/>
        </w:rPr>
        <w:t>ндекс потребительских цен прогнозируется на 2021-2023 годы ежегодно в размере 104%.</w:t>
      </w:r>
    </w:p>
    <w:p w:rsidR="001475D9" w:rsidRDefault="00514771" w:rsidP="001475D9">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В 2021 году прогнозируется снижение поступлений налоговых и неналоговых доходов на 0,4% к ожидаемой оценке 2020 года.</w:t>
      </w:r>
    </w:p>
    <w:p w:rsidR="008E773A" w:rsidRDefault="00514771" w:rsidP="008E773A">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Планируется постепенное снижение дефицита бюджета муниципальн</w:t>
      </w:r>
      <w:r w:rsidR="001475D9">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Основным источником финансирования дефицита бюджета</w:t>
      </w:r>
      <w:r w:rsidR="001475D9">
        <w:rPr>
          <w:rFonts w:ascii="Times New Roman" w:hAnsi="Times New Roman" w:cs="Times New Roman"/>
          <w:sz w:val="28"/>
          <w:szCs w:val="28"/>
        </w:rPr>
        <w:t xml:space="preserve"> муниципального образования город Киржач</w:t>
      </w:r>
      <w:r w:rsidRPr="00E36BF2">
        <w:rPr>
          <w:rFonts w:ascii="Times New Roman" w:hAnsi="Times New Roman" w:cs="Times New Roman"/>
          <w:sz w:val="28"/>
          <w:szCs w:val="28"/>
        </w:rPr>
        <w:t xml:space="preserve"> будут выступать кредиты кредитных организаций.</w:t>
      </w:r>
    </w:p>
    <w:p w:rsidR="00514771" w:rsidRPr="00E36BF2" w:rsidRDefault="00514771" w:rsidP="008E773A">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Таким образом, в предстоящий период значения показателей долговой устойчивости  муниципальн</w:t>
      </w:r>
      <w:r w:rsidR="008E773A">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будут по-прежнему вне опасных зон.</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Фактор 2. Уровень муниципального долга муниципальн</w:t>
      </w:r>
      <w:r w:rsidR="008E773A">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w:t>
      </w:r>
    </w:p>
    <w:p w:rsidR="00E51ED9" w:rsidRDefault="00514771" w:rsidP="00E51ED9">
      <w:pPr>
        <w:pStyle w:val="ConsPlusNormal"/>
        <w:spacing w:before="220"/>
        <w:ind w:firstLine="540"/>
        <w:jc w:val="both"/>
        <w:rPr>
          <w:rFonts w:ascii="Times New Roman" w:hAnsi="Times New Roman" w:cs="Times New Roman"/>
          <w:sz w:val="28"/>
          <w:szCs w:val="28"/>
        </w:rPr>
      </w:pPr>
      <w:r w:rsidRPr="007164DF">
        <w:rPr>
          <w:rFonts w:ascii="Times New Roman" w:hAnsi="Times New Roman" w:cs="Times New Roman"/>
          <w:sz w:val="28"/>
          <w:szCs w:val="28"/>
        </w:rPr>
        <w:t>На 1 сентября 2020 года муниципальный долг у муниципального образова</w:t>
      </w:r>
      <w:r w:rsidR="007164DF">
        <w:rPr>
          <w:rFonts w:ascii="Times New Roman" w:hAnsi="Times New Roman" w:cs="Times New Roman"/>
          <w:sz w:val="28"/>
          <w:szCs w:val="28"/>
        </w:rPr>
        <w:t xml:space="preserve">ния город Киржач составляет </w:t>
      </w:r>
      <w:r w:rsidR="00017755">
        <w:rPr>
          <w:rFonts w:ascii="Times New Roman" w:hAnsi="Times New Roman" w:cs="Times New Roman"/>
          <w:sz w:val="28"/>
          <w:szCs w:val="28"/>
        </w:rPr>
        <w:t>22650,0 тыс</w:t>
      </w:r>
      <w:proofErr w:type="gramStart"/>
      <w:r w:rsidR="00017755">
        <w:rPr>
          <w:rFonts w:ascii="Times New Roman" w:hAnsi="Times New Roman" w:cs="Times New Roman"/>
          <w:sz w:val="28"/>
          <w:szCs w:val="28"/>
        </w:rPr>
        <w:t>.р</w:t>
      </w:r>
      <w:proofErr w:type="gramEnd"/>
      <w:r w:rsidR="00017755">
        <w:rPr>
          <w:rFonts w:ascii="Times New Roman" w:hAnsi="Times New Roman" w:cs="Times New Roman"/>
          <w:sz w:val="28"/>
          <w:szCs w:val="28"/>
        </w:rPr>
        <w:t>ублей, в том числе:</w:t>
      </w:r>
    </w:p>
    <w:p w:rsidR="00514771" w:rsidRDefault="00017755" w:rsidP="00E51ED9">
      <w:pPr>
        <w:pStyle w:val="ConsPlusNormal"/>
        <w:spacing w:before="220"/>
        <w:ind w:firstLine="540"/>
        <w:jc w:val="both"/>
        <w:rPr>
          <w:rFonts w:ascii="Times New Roman" w:eastAsia="Calibri" w:hAnsi="Times New Roman" w:cs="Times New Roman"/>
          <w:color w:val="000000"/>
          <w:sz w:val="28"/>
          <w:szCs w:val="28"/>
        </w:rPr>
      </w:pPr>
      <w:r w:rsidRPr="00017755">
        <w:rPr>
          <w:rFonts w:ascii="Times New Roman" w:hAnsi="Times New Roman" w:cs="Times New Roman"/>
          <w:sz w:val="28"/>
          <w:szCs w:val="28"/>
        </w:rPr>
        <w:t xml:space="preserve">- </w:t>
      </w:r>
      <w:r w:rsidR="00E51ED9">
        <w:rPr>
          <w:rFonts w:ascii="Times New Roman" w:hAnsi="Times New Roman" w:cs="Times New Roman"/>
          <w:sz w:val="28"/>
          <w:szCs w:val="28"/>
        </w:rPr>
        <w:t xml:space="preserve"> коммерческий кредит в сумме 10 000,0 тыс</w:t>
      </w:r>
      <w:proofErr w:type="gramStart"/>
      <w:r w:rsidR="00E51ED9">
        <w:rPr>
          <w:rFonts w:ascii="Times New Roman" w:hAnsi="Times New Roman" w:cs="Times New Roman"/>
          <w:sz w:val="28"/>
          <w:szCs w:val="28"/>
        </w:rPr>
        <w:t>.р</w:t>
      </w:r>
      <w:proofErr w:type="gramEnd"/>
      <w:r w:rsidR="00E51ED9">
        <w:rPr>
          <w:rFonts w:ascii="Times New Roman" w:hAnsi="Times New Roman" w:cs="Times New Roman"/>
          <w:sz w:val="28"/>
          <w:szCs w:val="28"/>
        </w:rPr>
        <w:t>ублей, сроком погашения 18.11.2021 года (</w:t>
      </w:r>
      <w:r w:rsidRPr="00017755">
        <w:rPr>
          <w:rFonts w:ascii="Times New Roman" w:eastAsia="Calibri" w:hAnsi="Times New Roman" w:cs="Times New Roman"/>
          <w:color w:val="000000"/>
          <w:sz w:val="28"/>
          <w:szCs w:val="28"/>
        </w:rPr>
        <w:t xml:space="preserve">Муниципальный контракт с  ПАО "Сбербанк Росси" №0128300004519000061-0104747-02 от  19.11.2019, на оказание финансовых услуг по предоставлению кредита в форме </w:t>
      </w:r>
      <w:proofErr w:type="spellStart"/>
      <w:r w:rsidRPr="00017755">
        <w:rPr>
          <w:rFonts w:ascii="Times New Roman" w:eastAsia="Calibri" w:hAnsi="Times New Roman" w:cs="Times New Roman"/>
          <w:color w:val="000000"/>
          <w:sz w:val="28"/>
          <w:szCs w:val="28"/>
        </w:rPr>
        <w:t>невозобновляемой</w:t>
      </w:r>
      <w:proofErr w:type="spellEnd"/>
      <w:r w:rsidRPr="00017755">
        <w:rPr>
          <w:rFonts w:ascii="Times New Roman" w:eastAsia="Calibri" w:hAnsi="Times New Roman" w:cs="Times New Roman"/>
          <w:color w:val="000000"/>
          <w:sz w:val="28"/>
          <w:szCs w:val="28"/>
        </w:rPr>
        <w:t xml:space="preserve"> кредитной линии бюджету муниципального образования  город Киржач на финансирование дефицита бюджета и погашение долговых  обязательств перед бюджетами бюджетной системы Российской Федерации</w:t>
      </w:r>
      <w:r w:rsidR="00E51ED9">
        <w:rPr>
          <w:rFonts w:ascii="Times New Roman" w:eastAsia="Calibri" w:hAnsi="Times New Roman" w:cs="Times New Roman"/>
          <w:color w:val="000000"/>
          <w:sz w:val="28"/>
          <w:szCs w:val="28"/>
        </w:rPr>
        <w:t>);</w:t>
      </w:r>
    </w:p>
    <w:p w:rsidR="00E51ED9" w:rsidRPr="0075560B" w:rsidRDefault="00E51ED9" w:rsidP="00E51ED9">
      <w:pPr>
        <w:pStyle w:val="ConsPlusNormal"/>
        <w:spacing w:before="220"/>
        <w:ind w:firstLine="540"/>
        <w:jc w:val="both"/>
        <w:rPr>
          <w:rFonts w:ascii="Times New Roman" w:hAnsi="Times New Roman" w:cs="Times New Roman"/>
          <w:sz w:val="28"/>
          <w:szCs w:val="28"/>
        </w:rPr>
      </w:pPr>
      <w:r>
        <w:rPr>
          <w:rFonts w:ascii="Times New Roman" w:eastAsia="Calibri" w:hAnsi="Times New Roman" w:cs="Times New Roman"/>
          <w:color w:val="000000"/>
          <w:sz w:val="28"/>
          <w:szCs w:val="28"/>
        </w:rPr>
        <w:t>- бюджетный кредит в сумме 12650,0 тыс</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ублей</w:t>
      </w:r>
      <w:r w:rsidR="0075560B">
        <w:rPr>
          <w:rFonts w:ascii="Times New Roman" w:eastAsia="Calibri" w:hAnsi="Times New Roman" w:cs="Times New Roman"/>
          <w:color w:val="000000"/>
          <w:sz w:val="28"/>
          <w:szCs w:val="28"/>
        </w:rPr>
        <w:t xml:space="preserve">, сроком погашения в соответствии с графиком 24.11.2023 </w:t>
      </w:r>
      <w:r w:rsidR="0075560B" w:rsidRPr="0075560B">
        <w:rPr>
          <w:rFonts w:ascii="Times New Roman" w:eastAsia="Calibri" w:hAnsi="Times New Roman" w:cs="Times New Roman"/>
          <w:color w:val="000000"/>
          <w:sz w:val="28"/>
          <w:szCs w:val="28"/>
        </w:rPr>
        <w:t>(</w:t>
      </w:r>
      <w:r w:rsidRPr="0075560B">
        <w:rPr>
          <w:rFonts w:ascii="Times New Roman" w:eastAsia="Calibri" w:hAnsi="Times New Roman" w:cs="Times New Roman"/>
          <w:color w:val="000000"/>
          <w:sz w:val="28"/>
          <w:szCs w:val="28"/>
        </w:rPr>
        <w:t xml:space="preserve"> </w:t>
      </w:r>
      <w:r w:rsidR="0075560B" w:rsidRPr="0075560B">
        <w:rPr>
          <w:rFonts w:ascii="Times New Roman" w:eastAsia="Calibri" w:hAnsi="Times New Roman" w:cs="Times New Roman"/>
          <w:color w:val="000000"/>
          <w:sz w:val="28"/>
          <w:szCs w:val="28"/>
        </w:rPr>
        <w:t xml:space="preserve">Договор  с администрацией </w:t>
      </w:r>
      <w:proofErr w:type="spellStart"/>
      <w:r w:rsidR="0075560B" w:rsidRPr="0075560B">
        <w:rPr>
          <w:rFonts w:ascii="Times New Roman" w:eastAsia="Calibri" w:hAnsi="Times New Roman" w:cs="Times New Roman"/>
          <w:color w:val="000000"/>
          <w:sz w:val="28"/>
          <w:szCs w:val="28"/>
        </w:rPr>
        <w:t>Киржачского</w:t>
      </w:r>
      <w:proofErr w:type="spellEnd"/>
      <w:r w:rsidR="0075560B" w:rsidRPr="0075560B">
        <w:rPr>
          <w:rFonts w:ascii="Times New Roman" w:eastAsia="Calibri" w:hAnsi="Times New Roman" w:cs="Times New Roman"/>
          <w:color w:val="000000"/>
          <w:sz w:val="28"/>
          <w:szCs w:val="28"/>
        </w:rPr>
        <w:t xml:space="preserve"> района № 89 от 26.12.2016г. "О предоставлении бюджетного кредита"  из бюджета муниципального образования </w:t>
      </w:r>
      <w:proofErr w:type="spellStart"/>
      <w:r w:rsidR="0075560B" w:rsidRPr="0075560B">
        <w:rPr>
          <w:rFonts w:ascii="Times New Roman" w:eastAsia="Calibri" w:hAnsi="Times New Roman" w:cs="Times New Roman"/>
          <w:color w:val="000000"/>
          <w:sz w:val="28"/>
          <w:szCs w:val="28"/>
        </w:rPr>
        <w:t>Киржачский</w:t>
      </w:r>
      <w:proofErr w:type="spellEnd"/>
      <w:r w:rsidR="0075560B" w:rsidRPr="0075560B">
        <w:rPr>
          <w:rFonts w:ascii="Times New Roman" w:eastAsia="Calibri" w:hAnsi="Times New Roman" w:cs="Times New Roman"/>
          <w:color w:val="000000"/>
          <w:sz w:val="28"/>
          <w:szCs w:val="28"/>
        </w:rPr>
        <w:t xml:space="preserve"> район для частичного покрытия дефицита бюджета городского поселения. Дополнительное Соглашение №1  от 09.09.2019  об изменении реквизитов к договору № 89 от 26.12.2016 о предоставлении бюджетного кредита. </w:t>
      </w:r>
      <w:proofErr w:type="gramStart"/>
      <w:r w:rsidR="0075560B" w:rsidRPr="0075560B">
        <w:rPr>
          <w:rFonts w:ascii="Times New Roman" w:eastAsia="Calibri" w:hAnsi="Times New Roman" w:cs="Times New Roman"/>
          <w:color w:val="000000"/>
          <w:sz w:val="28"/>
          <w:szCs w:val="28"/>
        </w:rPr>
        <w:t>Дополнительное Соглашение № 2  от 10.12.2019 к договору № 89 от 26.12.2016г. "О предоставлении бюджетного кредита"; Дополнительное  Соглашение№3 от 16.06.2020 к договору № 89 от 26.12.2016 "О предоставлении бюджетного кредита"</w:t>
      </w:r>
      <w:r w:rsidR="0075560B">
        <w:rPr>
          <w:rFonts w:ascii="Times New Roman" w:eastAsia="Calibri" w:hAnsi="Times New Roman" w:cs="Times New Roman"/>
          <w:color w:val="000000"/>
          <w:sz w:val="28"/>
          <w:szCs w:val="28"/>
        </w:rPr>
        <w:t>)</w:t>
      </w:r>
      <w:proofErr w:type="gramEnd"/>
    </w:p>
    <w:p w:rsidR="0075560B" w:rsidRDefault="0075560B" w:rsidP="00514771">
      <w:pPr>
        <w:pStyle w:val="ConsPlusTitle"/>
        <w:jc w:val="center"/>
        <w:outlineLvl w:val="1"/>
        <w:rPr>
          <w:rFonts w:ascii="Times New Roman" w:hAnsi="Times New Roman" w:cs="Times New Roman"/>
          <w:sz w:val="28"/>
          <w:szCs w:val="28"/>
        </w:rPr>
      </w:pPr>
    </w:p>
    <w:p w:rsidR="00514771" w:rsidRPr="00E36BF2" w:rsidRDefault="0075560B" w:rsidP="0051477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514771" w:rsidRPr="00E36BF2">
        <w:rPr>
          <w:rFonts w:ascii="Times New Roman" w:hAnsi="Times New Roman" w:cs="Times New Roman"/>
          <w:sz w:val="28"/>
          <w:szCs w:val="28"/>
        </w:rPr>
        <w:t>3. Основные цели и задачи долговой политики муниципальн</w:t>
      </w:r>
      <w:r w:rsidR="00F07BB8">
        <w:rPr>
          <w:rFonts w:ascii="Times New Roman" w:hAnsi="Times New Roman" w:cs="Times New Roman"/>
          <w:sz w:val="28"/>
          <w:szCs w:val="28"/>
        </w:rPr>
        <w:t>ого образования город Киржач</w:t>
      </w:r>
      <w:r w:rsidR="00514771" w:rsidRPr="00E36BF2">
        <w:rPr>
          <w:rFonts w:ascii="Times New Roman" w:hAnsi="Times New Roman" w:cs="Times New Roman"/>
          <w:sz w:val="28"/>
          <w:szCs w:val="28"/>
        </w:rPr>
        <w:t xml:space="preserve"> на 2021 год и на плановый период 2022 и 2023 годов</w:t>
      </w:r>
    </w:p>
    <w:p w:rsidR="00514771" w:rsidRPr="00E36BF2" w:rsidRDefault="00514771" w:rsidP="00514771">
      <w:pPr>
        <w:pStyle w:val="ConsPlusNormal"/>
        <w:jc w:val="both"/>
        <w:rPr>
          <w:rFonts w:ascii="Times New Roman" w:hAnsi="Times New Roman" w:cs="Times New Roman"/>
          <w:sz w:val="28"/>
          <w:szCs w:val="28"/>
        </w:rPr>
      </w:pP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lastRenderedPageBreak/>
        <w:t>Долговая политика муниц</w:t>
      </w:r>
      <w:r w:rsidR="00F07BB8">
        <w:rPr>
          <w:rFonts w:ascii="Times New Roman" w:hAnsi="Times New Roman" w:cs="Times New Roman"/>
          <w:sz w:val="28"/>
          <w:szCs w:val="28"/>
        </w:rPr>
        <w:t xml:space="preserve">ипального образования город Киржач </w:t>
      </w:r>
      <w:r w:rsidRPr="00E36BF2">
        <w:rPr>
          <w:rFonts w:ascii="Times New Roman" w:hAnsi="Times New Roman" w:cs="Times New Roman"/>
          <w:sz w:val="28"/>
          <w:szCs w:val="28"/>
        </w:rPr>
        <w:t xml:space="preserve"> в 2021 - 2023 годах, как и в предыдущие периоды, будет направлена на обеспечение сбалансированности и долговой устойчивости бюдж</w:t>
      </w:r>
      <w:r w:rsidR="00F07BB8">
        <w:rPr>
          <w:rFonts w:ascii="Times New Roman" w:hAnsi="Times New Roman" w:cs="Times New Roman"/>
          <w:sz w:val="28"/>
          <w:szCs w:val="28"/>
        </w:rPr>
        <w:t>ета муниципального образования город Киржач</w:t>
      </w:r>
      <w:r w:rsidRPr="00E36BF2">
        <w:rPr>
          <w:rFonts w:ascii="Times New Roman" w:hAnsi="Times New Roman" w:cs="Times New Roman"/>
          <w:sz w:val="28"/>
          <w:szCs w:val="28"/>
        </w:rPr>
        <w:t xml:space="preserve"> посредством эффективного управления муниципальным долгом.</w:t>
      </w:r>
    </w:p>
    <w:p w:rsidR="00514771" w:rsidRPr="00E36BF2" w:rsidRDefault="00514771" w:rsidP="00514771">
      <w:pPr>
        <w:pStyle w:val="ConsPlusNormal"/>
        <w:ind w:firstLine="540"/>
        <w:jc w:val="both"/>
        <w:rPr>
          <w:rFonts w:ascii="Times New Roman" w:hAnsi="Times New Roman" w:cs="Times New Roman"/>
          <w:sz w:val="28"/>
          <w:szCs w:val="28"/>
        </w:rPr>
      </w:pPr>
      <w:proofErr w:type="gramStart"/>
      <w:r w:rsidRPr="00E36BF2">
        <w:rPr>
          <w:rFonts w:ascii="Times New Roman" w:hAnsi="Times New Roman" w:cs="Times New Roman"/>
          <w:sz w:val="28"/>
          <w:szCs w:val="28"/>
        </w:rPr>
        <w:t>Целью долговой политики муниципальн</w:t>
      </w:r>
      <w:r w:rsidR="007E270B">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на ближайшие три года будет являться обеспечение потребностей в заемном финансировании, своевременном исполнении долговых обязательств при минимизации расходов на их обслуживание, а также поддержание объема и структуры  муниципального долга на экономически безопасном уровне, обеспечивающем возможность гарантированного выполнения муницип</w:t>
      </w:r>
      <w:r w:rsidR="007E270B">
        <w:rPr>
          <w:rFonts w:ascii="Times New Roman" w:hAnsi="Times New Roman" w:cs="Times New Roman"/>
          <w:sz w:val="28"/>
          <w:szCs w:val="28"/>
        </w:rPr>
        <w:t>альным образованием город Киржач</w:t>
      </w:r>
      <w:r w:rsidRPr="00E36BF2">
        <w:rPr>
          <w:rFonts w:ascii="Times New Roman" w:hAnsi="Times New Roman" w:cs="Times New Roman"/>
          <w:sz w:val="28"/>
          <w:szCs w:val="28"/>
        </w:rPr>
        <w:t xml:space="preserve"> обязательств по его погашению и обслуживанию, позволяющем при этом решать задачи по</w:t>
      </w:r>
      <w:proofErr w:type="gramEnd"/>
      <w:r w:rsidRPr="00E36BF2">
        <w:rPr>
          <w:rFonts w:ascii="Times New Roman" w:hAnsi="Times New Roman" w:cs="Times New Roman"/>
          <w:sz w:val="28"/>
          <w:szCs w:val="28"/>
        </w:rPr>
        <w:t xml:space="preserve"> достижению целей, поставленных в посланиях и указах Президента Российской Федерации.</w:t>
      </w:r>
    </w:p>
    <w:p w:rsidR="0084456D" w:rsidRDefault="00514771" w:rsidP="0084456D">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Задачами долговой политики муниципально</w:t>
      </w:r>
      <w:r w:rsidR="00D95AA3">
        <w:rPr>
          <w:rFonts w:ascii="Times New Roman" w:hAnsi="Times New Roman" w:cs="Times New Roman"/>
          <w:sz w:val="28"/>
          <w:szCs w:val="28"/>
        </w:rPr>
        <w:t xml:space="preserve">го образования город Киржач </w:t>
      </w:r>
      <w:r w:rsidRPr="00E36BF2">
        <w:rPr>
          <w:rFonts w:ascii="Times New Roman" w:hAnsi="Times New Roman" w:cs="Times New Roman"/>
          <w:sz w:val="28"/>
          <w:szCs w:val="28"/>
        </w:rPr>
        <w:t>в 2021-2023 годах будут являться:</w:t>
      </w:r>
    </w:p>
    <w:p w:rsidR="0000363D" w:rsidRDefault="00514771" w:rsidP="0000363D">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1) снижение показателя соотношения объема муниципального долга к общему объему доходов бюджета муниципальн</w:t>
      </w:r>
      <w:r w:rsidR="0084456D">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без учета безвозмездных поступлений в соответствующем финансовом году;</w:t>
      </w:r>
    </w:p>
    <w:p w:rsidR="00461AA5" w:rsidRDefault="00514771" w:rsidP="00461AA5">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2) поддержание структуры муниципального долга и расходов на его обслуживание на оптимальном уровне;</w:t>
      </w:r>
    </w:p>
    <w:p w:rsidR="00514771" w:rsidRPr="00E36BF2" w:rsidRDefault="00514771" w:rsidP="00461AA5">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 xml:space="preserve">3) выполнение своевременно и в полном объеме обязательств по погашению и обслуживанию муниципального долга муниципального образования </w:t>
      </w:r>
      <w:proofErr w:type="spellStart"/>
      <w:r w:rsidRPr="00E36BF2">
        <w:rPr>
          <w:rFonts w:ascii="Times New Roman" w:hAnsi="Times New Roman" w:cs="Times New Roman"/>
          <w:sz w:val="28"/>
          <w:szCs w:val="28"/>
        </w:rPr>
        <w:t>Киржачский</w:t>
      </w:r>
      <w:proofErr w:type="spellEnd"/>
      <w:r w:rsidRPr="00E36BF2">
        <w:rPr>
          <w:rFonts w:ascii="Times New Roman" w:hAnsi="Times New Roman" w:cs="Times New Roman"/>
          <w:sz w:val="28"/>
          <w:szCs w:val="28"/>
        </w:rPr>
        <w:t xml:space="preserve"> район;</w:t>
      </w:r>
    </w:p>
    <w:p w:rsidR="00514771" w:rsidRPr="00E36BF2" w:rsidRDefault="00514771" w:rsidP="00514771">
      <w:pPr>
        <w:pStyle w:val="ConsPlusNormal"/>
        <w:shd w:val="clear" w:color="auto" w:fill="FFFFFF"/>
        <w:ind w:firstLine="540"/>
        <w:jc w:val="both"/>
        <w:rPr>
          <w:rFonts w:ascii="Times New Roman" w:hAnsi="Times New Roman" w:cs="Times New Roman"/>
          <w:sz w:val="28"/>
          <w:szCs w:val="28"/>
        </w:rPr>
      </w:pPr>
      <w:r w:rsidRPr="00765CB3">
        <w:rPr>
          <w:rFonts w:ascii="Times New Roman" w:hAnsi="Times New Roman" w:cs="Times New Roman"/>
          <w:sz w:val="28"/>
          <w:szCs w:val="28"/>
        </w:rPr>
        <w:t>4)</w:t>
      </w:r>
      <w:r w:rsidRPr="00E36BF2">
        <w:rPr>
          <w:rFonts w:ascii="Times New Roman" w:hAnsi="Times New Roman" w:cs="Times New Roman"/>
          <w:sz w:val="28"/>
          <w:szCs w:val="28"/>
        </w:rPr>
        <w:t xml:space="preserve"> предоставление муниципальных гарантий муниципальн</w:t>
      </w:r>
      <w:r w:rsidR="00EA6348">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юридическим лицам в периоде 2021-2023 годов не предусмотрено;</w:t>
      </w: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5) обеспечение информационной открытости проводимой долговой политики и доступности информа</w:t>
      </w:r>
      <w:r w:rsidR="00EA6348">
        <w:rPr>
          <w:rFonts w:ascii="Times New Roman" w:hAnsi="Times New Roman" w:cs="Times New Roman"/>
          <w:sz w:val="28"/>
          <w:szCs w:val="28"/>
        </w:rPr>
        <w:t>ции о муниципальном долге города</w:t>
      </w:r>
      <w:r w:rsidRPr="00E36BF2">
        <w:rPr>
          <w:rFonts w:ascii="Times New Roman" w:hAnsi="Times New Roman" w:cs="Times New Roman"/>
          <w:sz w:val="28"/>
          <w:szCs w:val="28"/>
        </w:rPr>
        <w:t>.</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Одной из основных задач, определяющих направления долговой политики муниципальн</w:t>
      </w:r>
      <w:r w:rsidR="00EA6348">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на 2021-2023 годы, будет являться необходимость выполнения условий для вновь заключаемых  соглашений о предоставлении бюджету муниципальн</w:t>
      </w:r>
      <w:r w:rsidR="00EA6348">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из областного бюджета бюджетных кредитов:</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1) обеспечение доли общего объема долговых обязательств муниципальн</w:t>
      </w:r>
      <w:r w:rsidR="00EA6348">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в том числе по кредитам, полученным муниципальн</w:t>
      </w:r>
      <w:r w:rsidR="00EA6348">
        <w:rPr>
          <w:rFonts w:ascii="Times New Roman" w:hAnsi="Times New Roman" w:cs="Times New Roman"/>
          <w:sz w:val="28"/>
          <w:szCs w:val="28"/>
        </w:rPr>
        <w:t>ым образованием  город Киржач от кредитных организаций:</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 к 0</w:t>
      </w:r>
      <w:r w:rsidR="00EA6348">
        <w:rPr>
          <w:rFonts w:ascii="Times New Roman" w:hAnsi="Times New Roman" w:cs="Times New Roman"/>
          <w:sz w:val="28"/>
          <w:szCs w:val="28"/>
        </w:rPr>
        <w:t>1 января 2022 года  - не более 5,0</w:t>
      </w:r>
      <w:r w:rsidRPr="00E36BF2">
        <w:rPr>
          <w:rFonts w:ascii="Times New Roman" w:hAnsi="Times New Roman" w:cs="Times New Roman"/>
          <w:sz w:val="28"/>
          <w:szCs w:val="28"/>
        </w:rPr>
        <w:t xml:space="preserve">% от суммы доходов бюджета муниципального образования </w:t>
      </w:r>
      <w:proofErr w:type="spellStart"/>
      <w:r w:rsidRPr="00E36BF2">
        <w:rPr>
          <w:rFonts w:ascii="Times New Roman" w:hAnsi="Times New Roman" w:cs="Times New Roman"/>
          <w:sz w:val="28"/>
          <w:szCs w:val="28"/>
        </w:rPr>
        <w:t>Киржачский</w:t>
      </w:r>
      <w:proofErr w:type="spellEnd"/>
      <w:r w:rsidRPr="00E36BF2">
        <w:rPr>
          <w:rFonts w:ascii="Times New Roman" w:hAnsi="Times New Roman" w:cs="Times New Roman"/>
          <w:sz w:val="28"/>
          <w:szCs w:val="28"/>
        </w:rPr>
        <w:t xml:space="preserve"> район без учета безвозмездных поступлений за 2021 год;</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 к 01</w:t>
      </w:r>
      <w:r w:rsidR="00EA6348">
        <w:rPr>
          <w:rFonts w:ascii="Times New Roman" w:hAnsi="Times New Roman" w:cs="Times New Roman"/>
          <w:sz w:val="28"/>
          <w:szCs w:val="28"/>
        </w:rPr>
        <w:t xml:space="preserve"> января 2023 года - не более 5,0</w:t>
      </w:r>
      <w:r w:rsidRPr="00E36BF2">
        <w:rPr>
          <w:rFonts w:ascii="Times New Roman" w:hAnsi="Times New Roman" w:cs="Times New Roman"/>
          <w:sz w:val="28"/>
          <w:szCs w:val="28"/>
        </w:rPr>
        <w:t xml:space="preserve">% от суммы доходов бюджета муниципального образования </w:t>
      </w:r>
      <w:proofErr w:type="spellStart"/>
      <w:r w:rsidRPr="00E36BF2">
        <w:rPr>
          <w:rFonts w:ascii="Times New Roman" w:hAnsi="Times New Roman" w:cs="Times New Roman"/>
          <w:sz w:val="28"/>
          <w:szCs w:val="28"/>
        </w:rPr>
        <w:t>Киржачский</w:t>
      </w:r>
      <w:proofErr w:type="spellEnd"/>
      <w:r w:rsidRPr="00E36BF2">
        <w:rPr>
          <w:rFonts w:ascii="Times New Roman" w:hAnsi="Times New Roman" w:cs="Times New Roman"/>
          <w:sz w:val="28"/>
          <w:szCs w:val="28"/>
        </w:rPr>
        <w:t xml:space="preserve"> район без учета безвозмездных поступлений за 2022 год;</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 к 0</w:t>
      </w:r>
      <w:r w:rsidR="00EA6348">
        <w:rPr>
          <w:rFonts w:ascii="Times New Roman" w:hAnsi="Times New Roman" w:cs="Times New Roman"/>
          <w:sz w:val="28"/>
          <w:szCs w:val="28"/>
        </w:rPr>
        <w:t>1 января 2024 года - не более 5,0</w:t>
      </w:r>
      <w:r w:rsidR="00D86E14">
        <w:rPr>
          <w:rFonts w:ascii="Times New Roman" w:hAnsi="Times New Roman" w:cs="Times New Roman"/>
          <w:sz w:val="28"/>
          <w:szCs w:val="28"/>
        </w:rPr>
        <w:t>%</w:t>
      </w:r>
      <w:r w:rsidRPr="00E36BF2">
        <w:rPr>
          <w:rFonts w:ascii="Times New Roman" w:hAnsi="Times New Roman" w:cs="Times New Roman"/>
          <w:sz w:val="28"/>
          <w:szCs w:val="28"/>
        </w:rPr>
        <w:t xml:space="preserve"> от суммы доходов бюджета муниципального образования </w:t>
      </w:r>
      <w:proofErr w:type="spellStart"/>
      <w:r w:rsidRPr="00E36BF2">
        <w:rPr>
          <w:rFonts w:ascii="Times New Roman" w:hAnsi="Times New Roman" w:cs="Times New Roman"/>
          <w:sz w:val="28"/>
          <w:szCs w:val="28"/>
        </w:rPr>
        <w:t>Киржачский</w:t>
      </w:r>
      <w:proofErr w:type="spellEnd"/>
      <w:r w:rsidRPr="00E36BF2">
        <w:rPr>
          <w:rFonts w:ascii="Times New Roman" w:hAnsi="Times New Roman" w:cs="Times New Roman"/>
          <w:sz w:val="28"/>
          <w:szCs w:val="28"/>
        </w:rPr>
        <w:t xml:space="preserve"> район без учета безвозмездных поступлений за 2023 год.</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lastRenderedPageBreak/>
        <w:t xml:space="preserve">2) выполнение условий договоров о предоставлении (реструктуризации) бюджетных кредитов из областного бюджета, </w:t>
      </w:r>
      <w:proofErr w:type="gramStart"/>
      <w:r w:rsidRPr="00E36BF2">
        <w:rPr>
          <w:rFonts w:ascii="Times New Roman" w:hAnsi="Times New Roman" w:cs="Times New Roman"/>
          <w:sz w:val="28"/>
          <w:szCs w:val="28"/>
        </w:rPr>
        <w:t>включающие</w:t>
      </w:r>
      <w:proofErr w:type="gramEnd"/>
      <w:r w:rsidRPr="00E36BF2">
        <w:rPr>
          <w:rFonts w:ascii="Times New Roman" w:hAnsi="Times New Roman" w:cs="Times New Roman"/>
          <w:sz w:val="28"/>
          <w:szCs w:val="28"/>
        </w:rPr>
        <w:t>:</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 обеспечение дефицита  бюджета муниципальн</w:t>
      </w:r>
      <w:r w:rsidR="00EA6348">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в 2020, 2021 и 2022 годах на уровне не более 5% суммы доходов бюджета муниципальн</w:t>
      </w:r>
      <w:r w:rsidR="00EA6348">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без учета объема безвозмездных поступлений;</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 ограничение ставок по кредитам, полученным муниципальн</w:t>
      </w:r>
      <w:r w:rsidR="00EA6348">
        <w:rPr>
          <w:rFonts w:ascii="Times New Roman" w:hAnsi="Times New Roman" w:cs="Times New Roman"/>
          <w:sz w:val="28"/>
          <w:szCs w:val="28"/>
        </w:rPr>
        <w:t>ым образованием город Киржач</w:t>
      </w:r>
      <w:r w:rsidRPr="00E36BF2">
        <w:rPr>
          <w:rFonts w:ascii="Times New Roman" w:hAnsi="Times New Roman" w:cs="Times New Roman"/>
          <w:sz w:val="28"/>
          <w:szCs w:val="28"/>
        </w:rPr>
        <w:t xml:space="preserve"> от кредитных организаций, на уровне не </w:t>
      </w:r>
      <w:proofErr w:type="gramStart"/>
      <w:r w:rsidRPr="00E36BF2">
        <w:rPr>
          <w:rFonts w:ascii="Times New Roman" w:hAnsi="Times New Roman" w:cs="Times New Roman"/>
          <w:sz w:val="28"/>
          <w:szCs w:val="28"/>
        </w:rPr>
        <w:t>более ключевой</w:t>
      </w:r>
      <w:proofErr w:type="gramEnd"/>
      <w:r w:rsidRPr="00E36BF2">
        <w:rPr>
          <w:rFonts w:ascii="Times New Roman" w:hAnsi="Times New Roman" w:cs="Times New Roman"/>
          <w:sz w:val="28"/>
          <w:szCs w:val="28"/>
        </w:rPr>
        <w:t xml:space="preserve"> ставки, установленной Центральным банком Российской Федерации, увеличенной на 1 процент годовых;</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 xml:space="preserve">- обеспечение </w:t>
      </w:r>
      <w:hyperlink r:id="rId11" w:history="1">
        <w:r w:rsidRPr="00EA6348">
          <w:rPr>
            <w:rStyle w:val="aa"/>
            <w:rFonts w:ascii="Times New Roman" w:hAnsi="Times New Roman" w:cs="Times New Roman"/>
            <w:color w:val="auto"/>
            <w:sz w:val="28"/>
            <w:szCs w:val="28"/>
            <w:u w:val="none"/>
          </w:rPr>
          <w:t>плана</w:t>
        </w:r>
      </w:hyperlink>
      <w:r w:rsidRPr="00E36BF2">
        <w:rPr>
          <w:rFonts w:ascii="Times New Roman" w:hAnsi="Times New Roman" w:cs="Times New Roman"/>
          <w:sz w:val="28"/>
          <w:szCs w:val="28"/>
        </w:rPr>
        <w:t xml:space="preserve"> мероприятий по оздоровлению муниципальных финансов муниципальн</w:t>
      </w:r>
      <w:r w:rsidR="0066465B">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утвержденного постановлением </w:t>
      </w:r>
      <w:r w:rsidR="0066465B">
        <w:rPr>
          <w:rFonts w:ascii="Times New Roman" w:hAnsi="Times New Roman" w:cs="Times New Roman"/>
          <w:sz w:val="28"/>
          <w:szCs w:val="28"/>
        </w:rPr>
        <w:t>администрации города Киржач</w:t>
      </w:r>
      <w:r w:rsidR="00E34223">
        <w:rPr>
          <w:rFonts w:ascii="Times New Roman" w:hAnsi="Times New Roman" w:cs="Times New Roman"/>
          <w:sz w:val="28"/>
          <w:szCs w:val="28"/>
        </w:rPr>
        <w:t xml:space="preserve"> от 23 ноября 2015 года № 1160</w:t>
      </w:r>
      <w:r w:rsidRPr="00E36BF2">
        <w:rPr>
          <w:rFonts w:ascii="Times New Roman" w:hAnsi="Times New Roman" w:cs="Times New Roman"/>
          <w:sz w:val="28"/>
          <w:szCs w:val="28"/>
        </w:rPr>
        <w:t xml:space="preserve"> "Об утверждении плана мероприятий по оздоровлению муниципал</w:t>
      </w:r>
      <w:r w:rsidR="007B02EF">
        <w:rPr>
          <w:rFonts w:ascii="Times New Roman" w:hAnsi="Times New Roman" w:cs="Times New Roman"/>
          <w:sz w:val="28"/>
          <w:szCs w:val="28"/>
        </w:rPr>
        <w:t>ьных финансов города Киржач</w:t>
      </w:r>
      <w:r w:rsidRPr="00E36BF2">
        <w:rPr>
          <w:rFonts w:ascii="Times New Roman" w:hAnsi="Times New Roman" w:cs="Times New Roman"/>
          <w:sz w:val="28"/>
          <w:szCs w:val="28"/>
        </w:rPr>
        <w:t>"</w:t>
      </w:r>
      <w:r w:rsidR="007B02EF">
        <w:rPr>
          <w:rFonts w:ascii="Times New Roman" w:hAnsi="Times New Roman" w:cs="Times New Roman"/>
          <w:sz w:val="28"/>
          <w:szCs w:val="28"/>
        </w:rPr>
        <w:t xml:space="preserve"> </w:t>
      </w:r>
      <w:proofErr w:type="gramStart"/>
      <w:r w:rsidR="007B02EF">
        <w:rPr>
          <w:rFonts w:ascii="Times New Roman" w:hAnsi="Times New Roman" w:cs="Times New Roman"/>
          <w:sz w:val="28"/>
          <w:szCs w:val="28"/>
        </w:rPr>
        <w:t xml:space="preserve">( </w:t>
      </w:r>
      <w:proofErr w:type="gramEnd"/>
      <w:r w:rsidR="007B02EF">
        <w:rPr>
          <w:rFonts w:ascii="Times New Roman" w:hAnsi="Times New Roman" w:cs="Times New Roman"/>
          <w:sz w:val="28"/>
          <w:szCs w:val="28"/>
        </w:rPr>
        <w:t>с изменениями от 12.07.2016 № 609)</w:t>
      </w:r>
      <w:r w:rsidRPr="00E36BF2">
        <w:rPr>
          <w:rFonts w:ascii="Times New Roman" w:hAnsi="Times New Roman" w:cs="Times New Roman"/>
          <w:sz w:val="28"/>
          <w:szCs w:val="28"/>
        </w:rPr>
        <w:t>.</w:t>
      </w:r>
    </w:p>
    <w:p w:rsidR="00514771" w:rsidRPr="00E36BF2" w:rsidRDefault="00514771" w:rsidP="00514771">
      <w:pPr>
        <w:pStyle w:val="ConsPlusNormal"/>
        <w:jc w:val="both"/>
        <w:rPr>
          <w:rFonts w:ascii="Times New Roman" w:hAnsi="Times New Roman" w:cs="Times New Roman"/>
          <w:sz w:val="28"/>
          <w:szCs w:val="28"/>
        </w:rPr>
      </w:pPr>
    </w:p>
    <w:p w:rsidR="00514771" w:rsidRPr="00E36BF2" w:rsidRDefault="00514771" w:rsidP="00514771">
      <w:pPr>
        <w:pStyle w:val="ConsPlusTitle"/>
        <w:jc w:val="center"/>
        <w:outlineLvl w:val="1"/>
        <w:rPr>
          <w:rFonts w:ascii="Times New Roman" w:hAnsi="Times New Roman" w:cs="Times New Roman"/>
          <w:sz w:val="28"/>
          <w:szCs w:val="28"/>
        </w:rPr>
      </w:pPr>
      <w:r w:rsidRPr="00E36BF2">
        <w:rPr>
          <w:rFonts w:ascii="Times New Roman" w:hAnsi="Times New Roman" w:cs="Times New Roman"/>
          <w:sz w:val="28"/>
          <w:szCs w:val="28"/>
        </w:rPr>
        <w:t>4. Инструменты реализации долговой</w:t>
      </w:r>
    </w:p>
    <w:p w:rsidR="00514771" w:rsidRPr="00E36BF2" w:rsidRDefault="00514771" w:rsidP="00514771">
      <w:pPr>
        <w:pStyle w:val="ConsPlusTitle"/>
        <w:jc w:val="center"/>
        <w:rPr>
          <w:rFonts w:ascii="Times New Roman" w:hAnsi="Times New Roman" w:cs="Times New Roman"/>
          <w:sz w:val="28"/>
          <w:szCs w:val="28"/>
        </w:rPr>
      </w:pPr>
      <w:r w:rsidRPr="00E36BF2">
        <w:rPr>
          <w:rFonts w:ascii="Times New Roman" w:hAnsi="Times New Roman" w:cs="Times New Roman"/>
          <w:sz w:val="28"/>
          <w:szCs w:val="28"/>
        </w:rPr>
        <w:t>политики муниц</w:t>
      </w:r>
      <w:r w:rsidR="00F13758">
        <w:rPr>
          <w:rFonts w:ascii="Times New Roman" w:hAnsi="Times New Roman" w:cs="Times New Roman"/>
          <w:sz w:val="28"/>
          <w:szCs w:val="28"/>
        </w:rPr>
        <w:t>ипального образования город Киржач</w:t>
      </w:r>
    </w:p>
    <w:p w:rsidR="00514771" w:rsidRPr="00E36BF2" w:rsidRDefault="00514771" w:rsidP="00514771">
      <w:pPr>
        <w:pStyle w:val="ConsPlusNormal"/>
        <w:jc w:val="both"/>
        <w:rPr>
          <w:rFonts w:ascii="Times New Roman" w:hAnsi="Times New Roman" w:cs="Times New Roman"/>
          <w:sz w:val="28"/>
          <w:szCs w:val="28"/>
        </w:rPr>
      </w:pPr>
    </w:p>
    <w:p w:rsidR="00514771" w:rsidRPr="00F13758" w:rsidRDefault="00514771" w:rsidP="00F13758">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Обеспечение сбалансированности бюджета муниципальн</w:t>
      </w:r>
      <w:r w:rsidR="00F13758">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при одновременном обеспечении </w:t>
      </w:r>
      <w:proofErr w:type="spellStart"/>
      <w:r w:rsidRPr="00E36BF2">
        <w:rPr>
          <w:rFonts w:ascii="Times New Roman" w:hAnsi="Times New Roman" w:cs="Times New Roman"/>
          <w:sz w:val="28"/>
          <w:szCs w:val="28"/>
        </w:rPr>
        <w:t>непревышения</w:t>
      </w:r>
      <w:proofErr w:type="spellEnd"/>
      <w:r w:rsidRPr="00E36BF2">
        <w:rPr>
          <w:rFonts w:ascii="Times New Roman" w:hAnsi="Times New Roman" w:cs="Times New Roman"/>
          <w:sz w:val="28"/>
          <w:szCs w:val="28"/>
        </w:rPr>
        <w:t xml:space="preserve"> установленных показателей по об</w:t>
      </w:r>
      <w:r w:rsidR="00F13758">
        <w:rPr>
          <w:rFonts w:ascii="Times New Roman" w:hAnsi="Times New Roman" w:cs="Times New Roman"/>
          <w:sz w:val="28"/>
          <w:szCs w:val="28"/>
        </w:rPr>
        <w:t>ъему муниципального долга города</w:t>
      </w:r>
      <w:r w:rsidRPr="00E36BF2">
        <w:rPr>
          <w:rFonts w:ascii="Times New Roman" w:hAnsi="Times New Roman" w:cs="Times New Roman"/>
          <w:sz w:val="28"/>
          <w:szCs w:val="28"/>
        </w:rPr>
        <w:t xml:space="preserve"> и минимизации расходов на обслуживание долговых обязатель</w:t>
      </w:r>
      <w:proofErr w:type="gramStart"/>
      <w:r w:rsidRPr="00E36BF2">
        <w:rPr>
          <w:rFonts w:ascii="Times New Roman" w:hAnsi="Times New Roman" w:cs="Times New Roman"/>
          <w:sz w:val="28"/>
          <w:szCs w:val="28"/>
        </w:rPr>
        <w:t>ств пр</w:t>
      </w:r>
      <w:proofErr w:type="gramEnd"/>
      <w:r w:rsidRPr="00E36BF2">
        <w:rPr>
          <w:rFonts w:ascii="Times New Roman" w:hAnsi="Times New Roman" w:cs="Times New Roman"/>
          <w:sz w:val="28"/>
          <w:szCs w:val="28"/>
        </w:rPr>
        <w:t>едполагает использование следующих долговых инструментов.</w:t>
      </w:r>
    </w:p>
    <w:p w:rsidR="00514771" w:rsidRPr="00F13758" w:rsidRDefault="00514771" w:rsidP="00F13758">
      <w:pPr>
        <w:pStyle w:val="ConsPlusTitle"/>
        <w:jc w:val="center"/>
        <w:outlineLvl w:val="2"/>
        <w:rPr>
          <w:rFonts w:ascii="Times New Roman" w:hAnsi="Times New Roman" w:cs="Times New Roman"/>
          <w:b w:val="0"/>
          <w:sz w:val="28"/>
          <w:szCs w:val="28"/>
          <w:u w:val="single"/>
        </w:rPr>
      </w:pPr>
      <w:r w:rsidRPr="00F13758">
        <w:rPr>
          <w:rFonts w:ascii="Times New Roman" w:hAnsi="Times New Roman" w:cs="Times New Roman"/>
          <w:b w:val="0"/>
          <w:sz w:val="28"/>
          <w:szCs w:val="28"/>
          <w:u w:val="single"/>
        </w:rPr>
        <w:t>4.1. Кредиты от кредитных организаций</w:t>
      </w:r>
    </w:p>
    <w:p w:rsidR="002F423B" w:rsidRDefault="002F423B" w:rsidP="002F423B">
      <w:pPr>
        <w:pStyle w:val="ConsPlusNormal"/>
        <w:ind w:firstLine="540"/>
        <w:jc w:val="both"/>
        <w:rPr>
          <w:rFonts w:ascii="Times New Roman" w:hAnsi="Times New Roman" w:cs="Times New Roman"/>
          <w:sz w:val="28"/>
          <w:szCs w:val="28"/>
        </w:rPr>
      </w:pPr>
    </w:p>
    <w:p w:rsidR="002F423B" w:rsidRDefault="00514771" w:rsidP="002F423B">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Кредиты от кредитных организаций являются основным источником финансирования дефици</w:t>
      </w:r>
      <w:r w:rsidR="00F13758">
        <w:rPr>
          <w:rFonts w:ascii="Times New Roman" w:hAnsi="Times New Roman" w:cs="Times New Roman"/>
          <w:sz w:val="28"/>
          <w:szCs w:val="28"/>
        </w:rPr>
        <w:t>та бюджета</w:t>
      </w:r>
      <w:r w:rsidR="00052387">
        <w:rPr>
          <w:rFonts w:ascii="Times New Roman" w:hAnsi="Times New Roman" w:cs="Times New Roman"/>
          <w:sz w:val="28"/>
          <w:szCs w:val="28"/>
        </w:rPr>
        <w:t xml:space="preserve"> </w:t>
      </w:r>
      <w:r w:rsidR="00F13758">
        <w:rPr>
          <w:rFonts w:ascii="Times New Roman" w:hAnsi="Times New Roman" w:cs="Times New Roman"/>
          <w:sz w:val="28"/>
          <w:szCs w:val="28"/>
        </w:rPr>
        <w:t>города</w:t>
      </w:r>
      <w:r w:rsidRPr="00E36BF2">
        <w:rPr>
          <w:rFonts w:ascii="Times New Roman" w:hAnsi="Times New Roman" w:cs="Times New Roman"/>
          <w:sz w:val="28"/>
          <w:szCs w:val="28"/>
        </w:rPr>
        <w:t>. Использование данного инструмента долговой политики целесообразно при незначительных объемах заимствований, которые планирует осуществлять муниципаль</w:t>
      </w:r>
      <w:r w:rsidR="00F13758">
        <w:rPr>
          <w:rFonts w:ascii="Times New Roman" w:hAnsi="Times New Roman" w:cs="Times New Roman"/>
          <w:sz w:val="28"/>
          <w:szCs w:val="28"/>
        </w:rPr>
        <w:t>ное образование город Киржач</w:t>
      </w:r>
      <w:r w:rsidRPr="00E36BF2">
        <w:rPr>
          <w:rFonts w:ascii="Times New Roman" w:hAnsi="Times New Roman" w:cs="Times New Roman"/>
          <w:sz w:val="28"/>
          <w:szCs w:val="28"/>
        </w:rPr>
        <w:t>.  Ключевой задачей на данном этапе остается обеспечение привлечени</w:t>
      </w:r>
      <w:r w:rsidR="00F13758">
        <w:rPr>
          <w:rFonts w:ascii="Times New Roman" w:hAnsi="Times New Roman" w:cs="Times New Roman"/>
          <w:sz w:val="28"/>
          <w:szCs w:val="28"/>
        </w:rPr>
        <w:t>я в бюджет города</w:t>
      </w:r>
      <w:r w:rsidRPr="00E36BF2">
        <w:rPr>
          <w:rFonts w:ascii="Times New Roman" w:hAnsi="Times New Roman" w:cs="Times New Roman"/>
          <w:sz w:val="28"/>
          <w:szCs w:val="28"/>
        </w:rPr>
        <w:t xml:space="preserve"> кредитов от кредитных организаций по ставкам на уровне не более чем уровень ключевой ставки, установленный Центральным банком Российской Федерации, увеличенный на 1% годовых.</w:t>
      </w:r>
    </w:p>
    <w:p w:rsidR="00514771" w:rsidRPr="00E36BF2" w:rsidRDefault="00514771" w:rsidP="002F423B">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Муниципальн</w:t>
      </w:r>
      <w:r w:rsidR="00F13758">
        <w:rPr>
          <w:rFonts w:ascii="Times New Roman" w:hAnsi="Times New Roman" w:cs="Times New Roman"/>
          <w:sz w:val="28"/>
          <w:szCs w:val="28"/>
        </w:rPr>
        <w:t>ым образованием город Киржач</w:t>
      </w:r>
      <w:r w:rsidRPr="00E36BF2">
        <w:rPr>
          <w:rFonts w:ascii="Times New Roman" w:hAnsi="Times New Roman" w:cs="Times New Roman"/>
          <w:sz w:val="28"/>
          <w:szCs w:val="28"/>
        </w:rPr>
        <w:t xml:space="preserve"> будет осуществляться мониторинг кредитного рынка с целью определения оптимальных параметров привлечения заемных ресурсов (объем - стоимость - срок).</w:t>
      </w:r>
    </w:p>
    <w:p w:rsidR="00514771" w:rsidRPr="00F13758" w:rsidRDefault="00514771" w:rsidP="00F13758">
      <w:pPr>
        <w:pStyle w:val="ConsPlusNormal"/>
        <w:ind w:firstLine="0"/>
        <w:jc w:val="both"/>
        <w:rPr>
          <w:rFonts w:ascii="Times New Roman" w:hAnsi="Times New Roman" w:cs="Times New Roman"/>
          <w:sz w:val="28"/>
          <w:szCs w:val="28"/>
        </w:rPr>
      </w:pPr>
    </w:p>
    <w:p w:rsidR="00514771" w:rsidRPr="00F13758" w:rsidRDefault="00F13758" w:rsidP="00514771">
      <w:pPr>
        <w:pStyle w:val="ConsPlusTitle"/>
        <w:shd w:val="clear" w:color="auto" w:fill="FFFFFF"/>
        <w:jc w:val="center"/>
        <w:outlineLvl w:val="2"/>
        <w:rPr>
          <w:rFonts w:ascii="Times New Roman" w:hAnsi="Times New Roman" w:cs="Times New Roman"/>
          <w:b w:val="0"/>
          <w:sz w:val="28"/>
          <w:szCs w:val="28"/>
          <w:u w:val="single"/>
        </w:rPr>
      </w:pPr>
      <w:r w:rsidRPr="00F13758">
        <w:rPr>
          <w:rFonts w:ascii="Times New Roman" w:hAnsi="Times New Roman" w:cs="Times New Roman"/>
          <w:b w:val="0"/>
          <w:sz w:val="28"/>
          <w:szCs w:val="28"/>
          <w:u w:val="single"/>
        </w:rPr>
        <w:t>4.2</w:t>
      </w:r>
      <w:r w:rsidR="00514771" w:rsidRPr="00F13758">
        <w:rPr>
          <w:rFonts w:ascii="Times New Roman" w:hAnsi="Times New Roman" w:cs="Times New Roman"/>
          <w:b w:val="0"/>
          <w:sz w:val="28"/>
          <w:szCs w:val="28"/>
          <w:u w:val="single"/>
        </w:rPr>
        <w:t>. Муниципальные гарантии муниципальн</w:t>
      </w:r>
      <w:r w:rsidR="00052387">
        <w:rPr>
          <w:rFonts w:ascii="Times New Roman" w:hAnsi="Times New Roman" w:cs="Times New Roman"/>
          <w:b w:val="0"/>
          <w:sz w:val="28"/>
          <w:szCs w:val="28"/>
          <w:u w:val="single"/>
        </w:rPr>
        <w:t>ого образования город Киржач</w:t>
      </w:r>
    </w:p>
    <w:p w:rsidR="00514771" w:rsidRPr="00E36BF2" w:rsidRDefault="00514771" w:rsidP="00514771">
      <w:pPr>
        <w:pStyle w:val="ConsPlusNormal"/>
        <w:shd w:val="clear" w:color="auto" w:fill="FFFFFF"/>
        <w:jc w:val="both"/>
        <w:rPr>
          <w:rFonts w:ascii="Times New Roman" w:hAnsi="Times New Roman" w:cs="Times New Roman"/>
          <w:sz w:val="28"/>
          <w:szCs w:val="28"/>
        </w:rPr>
      </w:pPr>
    </w:p>
    <w:p w:rsidR="00514771" w:rsidRPr="00E36BF2" w:rsidRDefault="00514771" w:rsidP="00514771">
      <w:pPr>
        <w:pStyle w:val="ConsPlusNormal"/>
        <w:ind w:firstLine="567"/>
        <w:jc w:val="both"/>
        <w:rPr>
          <w:rFonts w:ascii="Times New Roman" w:hAnsi="Times New Roman" w:cs="Times New Roman"/>
          <w:sz w:val="28"/>
          <w:szCs w:val="28"/>
        </w:rPr>
      </w:pPr>
      <w:r w:rsidRPr="00E36BF2">
        <w:rPr>
          <w:rFonts w:ascii="Times New Roman" w:hAnsi="Times New Roman" w:cs="Times New Roman"/>
          <w:sz w:val="28"/>
          <w:szCs w:val="28"/>
        </w:rPr>
        <w:t>Предоставление муниципальных гарантий муниципальн</w:t>
      </w:r>
      <w:r w:rsidR="002F423B">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юридическим лицам в периоде 2021-2023 г. не предусмотрено.</w:t>
      </w:r>
    </w:p>
    <w:p w:rsidR="00514771" w:rsidRPr="00E36BF2" w:rsidRDefault="00514771" w:rsidP="00514771">
      <w:pPr>
        <w:pStyle w:val="ConsPlusNormal"/>
        <w:jc w:val="both"/>
        <w:rPr>
          <w:rFonts w:ascii="Times New Roman" w:hAnsi="Times New Roman" w:cs="Times New Roman"/>
          <w:sz w:val="28"/>
          <w:szCs w:val="28"/>
        </w:rPr>
      </w:pPr>
    </w:p>
    <w:p w:rsidR="00514771" w:rsidRPr="00E36BF2" w:rsidRDefault="00514771" w:rsidP="00514771">
      <w:pPr>
        <w:pStyle w:val="ConsPlusTitle"/>
        <w:jc w:val="center"/>
        <w:outlineLvl w:val="1"/>
        <w:rPr>
          <w:rFonts w:ascii="Times New Roman" w:hAnsi="Times New Roman" w:cs="Times New Roman"/>
          <w:sz w:val="28"/>
          <w:szCs w:val="28"/>
        </w:rPr>
      </w:pPr>
      <w:r w:rsidRPr="00E36BF2">
        <w:rPr>
          <w:rFonts w:ascii="Times New Roman" w:hAnsi="Times New Roman" w:cs="Times New Roman"/>
          <w:sz w:val="28"/>
          <w:szCs w:val="28"/>
        </w:rPr>
        <w:t>5</w:t>
      </w:r>
      <w:r w:rsidR="002D7596">
        <w:rPr>
          <w:rFonts w:ascii="Times New Roman" w:hAnsi="Times New Roman" w:cs="Times New Roman"/>
          <w:sz w:val="28"/>
          <w:szCs w:val="28"/>
        </w:rPr>
        <w:t>. Анализ рисков для бюджета города</w:t>
      </w:r>
      <w:r w:rsidR="00052387">
        <w:rPr>
          <w:rFonts w:ascii="Times New Roman" w:hAnsi="Times New Roman" w:cs="Times New Roman"/>
          <w:sz w:val="28"/>
          <w:szCs w:val="28"/>
        </w:rPr>
        <w:t xml:space="preserve"> Киржач</w:t>
      </w:r>
      <w:r w:rsidRPr="00E36BF2">
        <w:rPr>
          <w:rFonts w:ascii="Times New Roman" w:hAnsi="Times New Roman" w:cs="Times New Roman"/>
          <w:sz w:val="28"/>
          <w:szCs w:val="28"/>
        </w:rPr>
        <w:t>,</w:t>
      </w:r>
    </w:p>
    <w:p w:rsidR="00514771" w:rsidRPr="00E36BF2" w:rsidRDefault="00514771" w:rsidP="00514771">
      <w:pPr>
        <w:pStyle w:val="ConsPlusTitle"/>
        <w:jc w:val="center"/>
        <w:rPr>
          <w:rFonts w:ascii="Times New Roman" w:hAnsi="Times New Roman" w:cs="Times New Roman"/>
          <w:sz w:val="28"/>
          <w:szCs w:val="28"/>
        </w:rPr>
      </w:pPr>
      <w:proofErr w:type="gramStart"/>
      <w:r w:rsidRPr="00E36BF2">
        <w:rPr>
          <w:rFonts w:ascii="Times New Roman" w:hAnsi="Times New Roman" w:cs="Times New Roman"/>
          <w:sz w:val="28"/>
          <w:szCs w:val="28"/>
        </w:rPr>
        <w:t>возникающих</w:t>
      </w:r>
      <w:proofErr w:type="gramEnd"/>
      <w:r w:rsidRPr="00E36BF2">
        <w:rPr>
          <w:rFonts w:ascii="Times New Roman" w:hAnsi="Times New Roman" w:cs="Times New Roman"/>
          <w:sz w:val="28"/>
          <w:szCs w:val="28"/>
        </w:rPr>
        <w:t xml:space="preserve"> в процессе управления муниципальным</w:t>
      </w:r>
    </w:p>
    <w:p w:rsidR="00514771" w:rsidRPr="00E36BF2" w:rsidRDefault="00514771" w:rsidP="002D7596">
      <w:pPr>
        <w:pStyle w:val="ConsPlusTitle"/>
        <w:jc w:val="center"/>
        <w:rPr>
          <w:rFonts w:ascii="Times New Roman" w:hAnsi="Times New Roman" w:cs="Times New Roman"/>
          <w:sz w:val="28"/>
          <w:szCs w:val="28"/>
        </w:rPr>
      </w:pPr>
      <w:r w:rsidRPr="00E36BF2">
        <w:rPr>
          <w:rFonts w:ascii="Times New Roman" w:hAnsi="Times New Roman" w:cs="Times New Roman"/>
          <w:sz w:val="28"/>
          <w:szCs w:val="28"/>
        </w:rPr>
        <w:t>долгом муниципальн</w:t>
      </w:r>
      <w:r w:rsidR="00052387">
        <w:rPr>
          <w:rFonts w:ascii="Times New Roman" w:hAnsi="Times New Roman" w:cs="Times New Roman"/>
          <w:sz w:val="28"/>
          <w:szCs w:val="28"/>
        </w:rPr>
        <w:t>ого образования город Киржач</w:t>
      </w:r>
    </w:p>
    <w:p w:rsidR="00514771" w:rsidRPr="00E36BF2" w:rsidRDefault="00514771" w:rsidP="00514771">
      <w:pPr>
        <w:pStyle w:val="ConsPlusNormal"/>
        <w:jc w:val="both"/>
        <w:rPr>
          <w:rFonts w:ascii="Times New Roman" w:hAnsi="Times New Roman" w:cs="Times New Roman"/>
          <w:sz w:val="28"/>
          <w:szCs w:val="28"/>
        </w:rPr>
      </w:pP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lastRenderedPageBreak/>
        <w:t>Важное место в достижении целей долговой политики муниципальн</w:t>
      </w:r>
      <w:r w:rsidR="002D7596">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занимает оценка потенциальных рисков, возникающих в процессе ее реализации. Основными рисками при управлении муниципальным долгом муниципальн</w:t>
      </w:r>
      <w:r w:rsidR="002D7596">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являются:</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 xml:space="preserve">1) риск </w:t>
      </w:r>
      <w:proofErr w:type="spellStart"/>
      <w:r w:rsidRPr="00E36BF2">
        <w:rPr>
          <w:rFonts w:ascii="Times New Roman" w:hAnsi="Times New Roman" w:cs="Times New Roman"/>
          <w:sz w:val="28"/>
          <w:szCs w:val="28"/>
        </w:rPr>
        <w:t>недостижения</w:t>
      </w:r>
      <w:proofErr w:type="spellEnd"/>
      <w:r w:rsidRPr="00E36BF2">
        <w:rPr>
          <w:rFonts w:ascii="Times New Roman" w:hAnsi="Times New Roman" w:cs="Times New Roman"/>
          <w:sz w:val="28"/>
          <w:szCs w:val="28"/>
        </w:rPr>
        <w:t xml:space="preserve"> планируемых объемов поступлений доход</w:t>
      </w:r>
      <w:r w:rsidR="002D7596">
        <w:rPr>
          <w:rFonts w:ascii="Times New Roman" w:hAnsi="Times New Roman" w:cs="Times New Roman"/>
          <w:sz w:val="28"/>
          <w:szCs w:val="28"/>
        </w:rPr>
        <w:t>ов бюджета города</w:t>
      </w:r>
      <w:r w:rsidRPr="00E36BF2">
        <w:rPr>
          <w:rFonts w:ascii="Times New Roman" w:hAnsi="Times New Roman" w:cs="Times New Roman"/>
          <w:sz w:val="28"/>
          <w:szCs w:val="28"/>
        </w:rPr>
        <w:t xml:space="preserve">, поскольку </w:t>
      </w:r>
      <w:proofErr w:type="spellStart"/>
      <w:r w:rsidRPr="00E36BF2">
        <w:rPr>
          <w:rFonts w:ascii="Times New Roman" w:hAnsi="Times New Roman" w:cs="Times New Roman"/>
          <w:sz w:val="28"/>
          <w:szCs w:val="28"/>
        </w:rPr>
        <w:t>недопоступление</w:t>
      </w:r>
      <w:proofErr w:type="spellEnd"/>
      <w:r w:rsidRPr="00E36BF2">
        <w:rPr>
          <w:rFonts w:ascii="Times New Roman" w:hAnsi="Times New Roman" w:cs="Times New Roman"/>
          <w:sz w:val="28"/>
          <w:szCs w:val="28"/>
        </w:rPr>
        <w:t xml:space="preserve"> доходов потребует поиск альтернативных источников для выполнения расходных обязательств бюджета и обеспечения его сбалансированности;</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 xml:space="preserve">2) процентный риск - вероятность </w:t>
      </w:r>
      <w:proofErr w:type="gramStart"/>
      <w:r w:rsidRPr="00E36BF2">
        <w:rPr>
          <w:rFonts w:ascii="Times New Roman" w:hAnsi="Times New Roman" w:cs="Times New Roman"/>
          <w:sz w:val="28"/>
          <w:szCs w:val="28"/>
        </w:rPr>
        <w:t>увеличения суммы расход</w:t>
      </w:r>
      <w:r w:rsidR="002D7596">
        <w:rPr>
          <w:rFonts w:ascii="Times New Roman" w:hAnsi="Times New Roman" w:cs="Times New Roman"/>
          <w:sz w:val="28"/>
          <w:szCs w:val="28"/>
        </w:rPr>
        <w:t>ов бюджета города</w:t>
      </w:r>
      <w:proofErr w:type="gramEnd"/>
      <w:r w:rsidRPr="00E36BF2">
        <w:rPr>
          <w:rFonts w:ascii="Times New Roman" w:hAnsi="Times New Roman" w:cs="Times New Roman"/>
          <w:sz w:val="28"/>
          <w:szCs w:val="28"/>
        </w:rPr>
        <w:t xml:space="preserve">  на обслуживание муниципального долга вследствие увеличения Центробанком России ключевой ставки и (или) роста объемов привлечения кредитов для выполнения расходных обязательств;</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3) риск рефинансирования - вероятность потерь вследствие невыгодных условий привлечения заимствований на вынужденное рефинансирование уже имеющихся обязательств;</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4) риск ликвидности - отсутствие</w:t>
      </w:r>
      <w:r w:rsidR="002D7596">
        <w:rPr>
          <w:rFonts w:ascii="Times New Roman" w:hAnsi="Times New Roman" w:cs="Times New Roman"/>
          <w:sz w:val="28"/>
          <w:szCs w:val="28"/>
        </w:rPr>
        <w:t xml:space="preserve"> в бюджете города</w:t>
      </w:r>
      <w:r w:rsidRPr="00E36BF2">
        <w:rPr>
          <w:rFonts w:ascii="Times New Roman" w:hAnsi="Times New Roman" w:cs="Times New Roman"/>
          <w:sz w:val="28"/>
          <w:szCs w:val="28"/>
        </w:rPr>
        <w:t xml:space="preserve"> сре</w:t>
      </w:r>
      <w:proofErr w:type="gramStart"/>
      <w:r w:rsidRPr="00E36BF2">
        <w:rPr>
          <w:rFonts w:ascii="Times New Roman" w:hAnsi="Times New Roman" w:cs="Times New Roman"/>
          <w:sz w:val="28"/>
          <w:szCs w:val="28"/>
        </w:rPr>
        <w:t>дств дл</w:t>
      </w:r>
      <w:proofErr w:type="gramEnd"/>
      <w:r w:rsidRPr="00E36BF2">
        <w:rPr>
          <w:rFonts w:ascii="Times New Roman" w:hAnsi="Times New Roman" w:cs="Times New Roman"/>
          <w:sz w:val="28"/>
          <w:szCs w:val="28"/>
        </w:rPr>
        <w:t>я полного исполнения расходных и долговых обязательств в срок, в том числе по причине отсутствия участников в аукционах по привлечению кредитных ресурсов.</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Основной мерой, принимаемой в отношении управления рисками, связанными с реализацией долговой политики муниципальн</w:t>
      </w:r>
      <w:r w:rsidR="002D7596">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является осуществление достоверного прогнозирова</w:t>
      </w:r>
      <w:r w:rsidR="002D7596">
        <w:rPr>
          <w:rFonts w:ascii="Times New Roman" w:hAnsi="Times New Roman" w:cs="Times New Roman"/>
          <w:sz w:val="28"/>
          <w:szCs w:val="28"/>
        </w:rPr>
        <w:t xml:space="preserve">ния доходов бюджета города </w:t>
      </w:r>
      <w:r w:rsidRPr="00E36BF2">
        <w:rPr>
          <w:rFonts w:ascii="Times New Roman" w:hAnsi="Times New Roman" w:cs="Times New Roman"/>
          <w:sz w:val="28"/>
          <w:szCs w:val="28"/>
        </w:rPr>
        <w:t xml:space="preserve"> и поступлений по источникам финансирования дефици</w:t>
      </w:r>
      <w:r w:rsidR="002D7596">
        <w:rPr>
          <w:rFonts w:ascii="Times New Roman" w:hAnsi="Times New Roman" w:cs="Times New Roman"/>
          <w:sz w:val="28"/>
          <w:szCs w:val="28"/>
        </w:rPr>
        <w:t>та бюджета муниципального образования</w:t>
      </w:r>
      <w:r w:rsidRPr="00E36BF2">
        <w:rPr>
          <w:rFonts w:ascii="Times New Roman" w:hAnsi="Times New Roman" w:cs="Times New Roman"/>
          <w:sz w:val="28"/>
          <w:szCs w:val="28"/>
        </w:rPr>
        <w:t>, а также принятие взвешенных и экономически обоснованных решений по принятию долговых обязательств муниципальн</w:t>
      </w:r>
      <w:r w:rsidR="002D7596">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w:t>
      </w:r>
    </w:p>
    <w:p w:rsidR="00514771" w:rsidRPr="00E36BF2" w:rsidRDefault="00514771" w:rsidP="00514771">
      <w:pPr>
        <w:pStyle w:val="ConsPlusNormal"/>
        <w:jc w:val="both"/>
        <w:rPr>
          <w:rFonts w:ascii="Times New Roman" w:hAnsi="Times New Roman" w:cs="Times New Roman"/>
          <w:sz w:val="28"/>
          <w:szCs w:val="28"/>
        </w:rPr>
      </w:pPr>
    </w:p>
    <w:p w:rsidR="00514771" w:rsidRPr="00E36BF2" w:rsidRDefault="00514771" w:rsidP="00514771">
      <w:pPr>
        <w:ind w:left="6480"/>
        <w:rPr>
          <w:sz w:val="28"/>
          <w:szCs w:val="28"/>
        </w:rPr>
      </w:pPr>
    </w:p>
    <w:p w:rsidR="00514771" w:rsidRPr="00E36BF2" w:rsidRDefault="00514771" w:rsidP="00514771">
      <w:pPr>
        <w:ind w:left="6480"/>
        <w:rPr>
          <w:sz w:val="28"/>
          <w:szCs w:val="28"/>
        </w:rPr>
      </w:pPr>
    </w:p>
    <w:p w:rsidR="00514771" w:rsidRPr="00E36BF2" w:rsidRDefault="00514771" w:rsidP="00514771">
      <w:pPr>
        <w:ind w:left="6480"/>
        <w:rPr>
          <w:sz w:val="28"/>
          <w:szCs w:val="28"/>
        </w:rPr>
      </w:pPr>
    </w:p>
    <w:p w:rsidR="00514771" w:rsidRPr="00E36BF2" w:rsidRDefault="00514771" w:rsidP="00514771">
      <w:pPr>
        <w:ind w:left="6480"/>
        <w:rPr>
          <w:sz w:val="28"/>
          <w:szCs w:val="28"/>
        </w:rPr>
      </w:pPr>
    </w:p>
    <w:p w:rsidR="00514771" w:rsidRPr="00E36BF2" w:rsidRDefault="00514771" w:rsidP="00514771">
      <w:pPr>
        <w:ind w:left="6480"/>
        <w:rPr>
          <w:sz w:val="28"/>
          <w:szCs w:val="28"/>
        </w:rPr>
      </w:pPr>
      <w:r w:rsidRPr="00E36BF2">
        <w:rPr>
          <w:sz w:val="28"/>
          <w:szCs w:val="28"/>
        </w:rPr>
        <w:t xml:space="preserve"> </w:t>
      </w:r>
    </w:p>
    <w:p w:rsidR="00514771" w:rsidRPr="00E36BF2" w:rsidRDefault="00514771" w:rsidP="00514771">
      <w:pPr>
        <w:ind w:left="6480"/>
        <w:rPr>
          <w:sz w:val="28"/>
          <w:szCs w:val="28"/>
        </w:rPr>
      </w:pPr>
    </w:p>
    <w:p w:rsidR="00514771" w:rsidRDefault="00514771" w:rsidP="00514771">
      <w:pPr>
        <w:ind w:left="6480"/>
        <w:rPr>
          <w:sz w:val="28"/>
          <w:szCs w:val="28"/>
        </w:rPr>
      </w:pPr>
    </w:p>
    <w:p w:rsidR="00514771" w:rsidRDefault="00514771" w:rsidP="00514771">
      <w:pPr>
        <w:ind w:left="6480"/>
        <w:rPr>
          <w:sz w:val="28"/>
          <w:szCs w:val="28"/>
        </w:rPr>
      </w:pPr>
    </w:p>
    <w:p w:rsidR="00F752ED" w:rsidRDefault="00F752ED" w:rsidP="00505B8F">
      <w:pPr>
        <w:pStyle w:val="ConsPlusNormal"/>
        <w:jc w:val="center"/>
        <w:rPr>
          <w:rFonts w:ascii="Times New Roman" w:hAnsi="Times New Roman" w:cs="Times New Roman"/>
          <w:b/>
          <w:i/>
          <w:sz w:val="28"/>
          <w:szCs w:val="28"/>
        </w:rPr>
      </w:pPr>
    </w:p>
    <w:p w:rsidR="00F752ED" w:rsidRDefault="00F752ED" w:rsidP="00505B8F">
      <w:pPr>
        <w:pStyle w:val="ConsPlusNormal"/>
        <w:jc w:val="center"/>
        <w:rPr>
          <w:rFonts w:ascii="Times New Roman" w:hAnsi="Times New Roman" w:cs="Times New Roman"/>
          <w:b/>
          <w:i/>
          <w:sz w:val="28"/>
          <w:szCs w:val="28"/>
        </w:rPr>
      </w:pPr>
    </w:p>
    <w:p w:rsidR="00F752ED" w:rsidRDefault="00F752ED" w:rsidP="00505B8F">
      <w:pPr>
        <w:pStyle w:val="ConsPlusNormal"/>
        <w:jc w:val="center"/>
        <w:rPr>
          <w:rFonts w:ascii="Times New Roman" w:hAnsi="Times New Roman" w:cs="Times New Roman"/>
          <w:b/>
          <w:i/>
          <w:sz w:val="28"/>
          <w:szCs w:val="28"/>
        </w:rPr>
      </w:pPr>
    </w:p>
    <w:p w:rsidR="00F752ED" w:rsidRDefault="00F752ED" w:rsidP="00505B8F">
      <w:pPr>
        <w:pStyle w:val="ConsPlusNormal"/>
        <w:jc w:val="center"/>
        <w:rPr>
          <w:rFonts w:ascii="Times New Roman" w:hAnsi="Times New Roman" w:cs="Times New Roman"/>
          <w:b/>
          <w:i/>
          <w:sz w:val="28"/>
          <w:szCs w:val="28"/>
        </w:rPr>
      </w:pPr>
    </w:p>
    <w:p w:rsidR="00F752ED" w:rsidRDefault="00F752ED" w:rsidP="00505B8F">
      <w:pPr>
        <w:pStyle w:val="ConsPlusNormal"/>
        <w:jc w:val="center"/>
        <w:rPr>
          <w:rFonts w:ascii="Times New Roman" w:hAnsi="Times New Roman" w:cs="Times New Roman"/>
          <w:b/>
          <w:i/>
          <w:sz w:val="28"/>
          <w:szCs w:val="28"/>
        </w:rPr>
      </w:pPr>
    </w:p>
    <w:p w:rsidR="00F752ED" w:rsidRDefault="00F752ED" w:rsidP="00505B8F">
      <w:pPr>
        <w:pStyle w:val="ConsPlusNormal"/>
        <w:jc w:val="center"/>
        <w:rPr>
          <w:rFonts w:ascii="Times New Roman" w:hAnsi="Times New Roman" w:cs="Times New Roman"/>
          <w:b/>
          <w:i/>
          <w:sz w:val="28"/>
          <w:szCs w:val="28"/>
        </w:rPr>
      </w:pPr>
    </w:p>
    <w:p w:rsidR="00F752ED" w:rsidRDefault="00F752ED" w:rsidP="00505B8F">
      <w:pPr>
        <w:pStyle w:val="ConsPlusNormal"/>
        <w:jc w:val="center"/>
        <w:rPr>
          <w:rFonts w:ascii="Times New Roman" w:hAnsi="Times New Roman" w:cs="Times New Roman"/>
          <w:b/>
          <w:i/>
          <w:sz w:val="28"/>
          <w:szCs w:val="28"/>
        </w:rPr>
      </w:pPr>
    </w:p>
    <w:p w:rsidR="00F752ED" w:rsidRDefault="00F752ED" w:rsidP="00505B8F">
      <w:pPr>
        <w:pStyle w:val="ConsPlusNormal"/>
        <w:jc w:val="center"/>
        <w:rPr>
          <w:rFonts w:ascii="Times New Roman" w:hAnsi="Times New Roman" w:cs="Times New Roman"/>
          <w:b/>
          <w:i/>
          <w:sz w:val="28"/>
          <w:szCs w:val="28"/>
        </w:rPr>
      </w:pPr>
    </w:p>
    <w:p w:rsidR="00F752ED" w:rsidRDefault="00F752ED" w:rsidP="00505B8F">
      <w:pPr>
        <w:pStyle w:val="ConsPlusNormal"/>
        <w:jc w:val="center"/>
        <w:rPr>
          <w:rFonts w:ascii="Times New Roman" w:hAnsi="Times New Roman" w:cs="Times New Roman"/>
          <w:b/>
          <w:i/>
          <w:sz w:val="28"/>
          <w:szCs w:val="28"/>
        </w:rPr>
      </w:pPr>
    </w:p>
    <w:p w:rsidR="00AC4726" w:rsidRPr="00052387" w:rsidRDefault="00AC4726" w:rsidP="00052387">
      <w:pPr>
        <w:tabs>
          <w:tab w:val="left" w:pos="1275"/>
        </w:tabs>
        <w:jc w:val="both"/>
        <w:outlineLvl w:val="0"/>
        <w:rPr>
          <w:b/>
          <w:sz w:val="28"/>
          <w:szCs w:val="28"/>
        </w:rPr>
      </w:pPr>
    </w:p>
    <w:p w:rsidR="00C17877" w:rsidRDefault="00C17877" w:rsidP="00052387"/>
    <w:p w:rsidR="00C17877" w:rsidRDefault="00C17877" w:rsidP="00F747E7">
      <w:pPr>
        <w:jc w:val="right"/>
      </w:pPr>
    </w:p>
    <w:p w:rsidR="00F747E7" w:rsidRDefault="00F747E7" w:rsidP="00F747E7">
      <w:pPr>
        <w:jc w:val="right"/>
      </w:pPr>
      <w:r>
        <w:lastRenderedPageBreak/>
        <w:t>Приложение № 4</w:t>
      </w:r>
    </w:p>
    <w:p w:rsidR="00F747E7" w:rsidRDefault="000E0826" w:rsidP="00F747E7">
      <w:pPr>
        <w:jc w:val="right"/>
      </w:pPr>
      <w:r>
        <w:t>к постановлению администрации</w:t>
      </w:r>
    </w:p>
    <w:p w:rsidR="00F747E7" w:rsidRDefault="00F747E7" w:rsidP="00F747E7">
      <w:pPr>
        <w:jc w:val="right"/>
      </w:pPr>
      <w:r>
        <w:t xml:space="preserve"> города Киржач</w:t>
      </w:r>
    </w:p>
    <w:p w:rsidR="00F747E7" w:rsidRDefault="00F747E7" w:rsidP="00F747E7">
      <w:pPr>
        <w:jc w:val="right"/>
        <w:rPr>
          <w:sz w:val="28"/>
          <w:szCs w:val="28"/>
        </w:rPr>
      </w:pPr>
      <w:r>
        <w:t xml:space="preserve">      </w:t>
      </w:r>
      <w:r w:rsidR="000E0826">
        <w:t xml:space="preserve">     от</w:t>
      </w:r>
      <w:r w:rsidR="003F69FB">
        <w:t xml:space="preserve"> 30.09</w:t>
      </w:r>
      <w:r w:rsidR="002376DA">
        <w:t>.2020</w:t>
      </w:r>
      <w:r w:rsidR="00CB0B19">
        <w:t xml:space="preserve"> </w:t>
      </w:r>
      <w:r>
        <w:t xml:space="preserve">№ </w:t>
      </w:r>
      <w:r w:rsidR="002376DA">
        <w:t>675</w:t>
      </w:r>
    </w:p>
    <w:p w:rsidR="004849D4" w:rsidRDefault="004849D4" w:rsidP="006C2C71">
      <w:pPr>
        <w:pStyle w:val="ConsPlusNormal"/>
        <w:ind w:firstLine="540"/>
        <w:jc w:val="center"/>
        <w:rPr>
          <w:rFonts w:ascii="Times New Roman" w:hAnsi="Times New Roman" w:cs="Times New Roman"/>
          <w:sz w:val="28"/>
          <w:szCs w:val="28"/>
        </w:rPr>
      </w:pPr>
    </w:p>
    <w:p w:rsidR="004849D4" w:rsidRDefault="004849D4" w:rsidP="006C2C71">
      <w:pPr>
        <w:pStyle w:val="ConsPlusNormal"/>
        <w:ind w:firstLine="540"/>
        <w:jc w:val="center"/>
        <w:rPr>
          <w:rFonts w:ascii="Times New Roman" w:hAnsi="Times New Roman" w:cs="Times New Roman"/>
          <w:sz w:val="28"/>
          <w:szCs w:val="28"/>
        </w:rPr>
      </w:pPr>
    </w:p>
    <w:p w:rsidR="00AC4726" w:rsidRPr="00AC4726" w:rsidRDefault="00AC4726" w:rsidP="00AC4726">
      <w:pPr>
        <w:pStyle w:val="af1"/>
        <w:jc w:val="center"/>
        <w:rPr>
          <w:rFonts w:ascii="Times New Roman" w:hAnsi="Times New Roman"/>
          <w:b/>
          <w:bCs/>
          <w:sz w:val="28"/>
          <w:szCs w:val="28"/>
        </w:rPr>
      </w:pPr>
      <w:r w:rsidRPr="00AC4726">
        <w:rPr>
          <w:rFonts w:ascii="Times New Roman" w:hAnsi="Times New Roman"/>
          <w:b/>
          <w:bCs/>
          <w:sz w:val="28"/>
          <w:szCs w:val="28"/>
        </w:rPr>
        <w:t>Основные характеристи</w:t>
      </w:r>
      <w:r w:rsidR="008C006C">
        <w:rPr>
          <w:rFonts w:ascii="Times New Roman" w:hAnsi="Times New Roman"/>
          <w:b/>
          <w:bCs/>
          <w:sz w:val="28"/>
          <w:szCs w:val="28"/>
        </w:rPr>
        <w:t>ки бюджета города Киржач</w:t>
      </w:r>
      <w:r w:rsidRPr="00AC4726">
        <w:rPr>
          <w:rFonts w:ascii="Times New Roman" w:hAnsi="Times New Roman"/>
          <w:b/>
          <w:bCs/>
          <w:sz w:val="28"/>
          <w:szCs w:val="28"/>
        </w:rPr>
        <w:t xml:space="preserve"> на 2021 год и на  плановый период 2022 и 2023 годов</w:t>
      </w:r>
    </w:p>
    <w:p w:rsidR="00ED5EEB" w:rsidRDefault="00AC4726" w:rsidP="00AC4726">
      <w:pPr>
        <w:ind w:firstLine="567"/>
        <w:jc w:val="both"/>
        <w:rPr>
          <w:sz w:val="28"/>
          <w:szCs w:val="28"/>
        </w:rPr>
      </w:pPr>
      <w:r>
        <w:rPr>
          <w:sz w:val="28"/>
          <w:szCs w:val="28"/>
        </w:rPr>
        <w:t>Поступления налоговых и неналоговых доход</w:t>
      </w:r>
      <w:r w:rsidR="008C006C">
        <w:rPr>
          <w:sz w:val="28"/>
          <w:szCs w:val="28"/>
        </w:rPr>
        <w:t>ов бюджета города Киржач</w:t>
      </w:r>
      <w:r>
        <w:rPr>
          <w:sz w:val="28"/>
          <w:szCs w:val="28"/>
        </w:rPr>
        <w:t xml:space="preserve"> в 2021 году п</w:t>
      </w:r>
      <w:r w:rsidR="00ED5EEB">
        <w:rPr>
          <w:sz w:val="28"/>
          <w:szCs w:val="28"/>
        </w:rPr>
        <w:t xml:space="preserve">рогнозируется в сумме 149949,0 </w:t>
      </w:r>
      <w:r>
        <w:rPr>
          <w:sz w:val="28"/>
          <w:szCs w:val="28"/>
        </w:rPr>
        <w:t>тысяч</w:t>
      </w:r>
      <w:r w:rsidR="00ED5EEB">
        <w:rPr>
          <w:sz w:val="28"/>
          <w:szCs w:val="28"/>
        </w:rPr>
        <w:t xml:space="preserve"> рублей, в 2022 году – 149775,0</w:t>
      </w:r>
      <w:r>
        <w:rPr>
          <w:sz w:val="28"/>
          <w:szCs w:val="28"/>
        </w:rPr>
        <w:t xml:space="preserve"> тысяч</w:t>
      </w:r>
      <w:r w:rsidR="00ED5EEB">
        <w:rPr>
          <w:sz w:val="28"/>
          <w:szCs w:val="28"/>
        </w:rPr>
        <w:t xml:space="preserve"> рублей, в 2023 году – 154439,0</w:t>
      </w:r>
      <w:r>
        <w:rPr>
          <w:sz w:val="28"/>
          <w:szCs w:val="28"/>
        </w:rPr>
        <w:t xml:space="preserve"> тысяч рублей. </w:t>
      </w:r>
    </w:p>
    <w:p w:rsidR="00AC4726" w:rsidRDefault="00AC4726" w:rsidP="00AC4726">
      <w:pPr>
        <w:ind w:firstLine="567"/>
        <w:jc w:val="both"/>
        <w:rPr>
          <w:sz w:val="28"/>
          <w:szCs w:val="28"/>
        </w:rPr>
      </w:pPr>
      <w:r>
        <w:rPr>
          <w:sz w:val="28"/>
          <w:szCs w:val="28"/>
        </w:rPr>
        <w:t>Расходы бюджета прогнозируют</w:t>
      </w:r>
      <w:r w:rsidR="00ED5EEB">
        <w:rPr>
          <w:sz w:val="28"/>
          <w:szCs w:val="28"/>
        </w:rPr>
        <w:t>ся в 2021 году в сумме 157456,4</w:t>
      </w:r>
      <w:r>
        <w:rPr>
          <w:sz w:val="28"/>
          <w:szCs w:val="28"/>
        </w:rPr>
        <w:t xml:space="preserve"> тысяч</w:t>
      </w:r>
      <w:r w:rsidR="00ED5EEB">
        <w:rPr>
          <w:sz w:val="28"/>
          <w:szCs w:val="28"/>
        </w:rPr>
        <w:t xml:space="preserve"> рублей, в 2022 году – 157263,7 </w:t>
      </w:r>
      <w:r>
        <w:rPr>
          <w:sz w:val="28"/>
          <w:szCs w:val="28"/>
        </w:rPr>
        <w:t xml:space="preserve"> тысяч</w:t>
      </w:r>
      <w:r w:rsidR="00ED5EEB">
        <w:rPr>
          <w:sz w:val="28"/>
          <w:szCs w:val="28"/>
        </w:rPr>
        <w:t>и рублей, в 2023 году – 162160,0</w:t>
      </w:r>
      <w:r>
        <w:rPr>
          <w:sz w:val="28"/>
          <w:szCs w:val="28"/>
        </w:rPr>
        <w:t xml:space="preserve"> тысяч рублей.</w:t>
      </w:r>
    </w:p>
    <w:p w:rsidR="00AC4726" w:rsidRDefault="00AC4726" w:rsidP="00AC4726">
      <w:pPr>
        <w:ind w:firstLine="567"/>
        <w:jc w:val="both"/>
        <w:rPr>
          <w:sz w:val="28"/>
          <w:szCs w:val="28"/>
        </w:rPr>
      </w:pPr>
      <w:r>
        <w:rPr>
          <w:sz w:val="28"/>
          <w:szCs w:val="28"/>
        </w:rPr>
        <w:t>Дефицит бюдже</w:t>
      </w:r>
      <w:r w:rsidR="00ED5EEB">
        <w:rPr>
          <w:sz w:val="28"/>
          <w:szCs w:val="28"/>
        </w:rPr>
        <w:t>та составит в 2021 году 7497,4</w:t>
      </w:r>
      <w:r>
        <w:rPr>
          <w:sz w:val="28"/>
          <w:szCs w:val="28"/>
        </w:rPr>
        <w:t xml:space="preserve"> тысяч</w:t>
      </w:r>
      <w:r w:rsidR="00ED5EEB">
        <w:rPr>
          <w:sz w:val="28"/>
          <w:szCs w:val="28"/>
        </w:rPr>
        <w:t xml:space="preserve"> рублей,  в 2022 году – 7488,7</w:t>
      </w:r>
      <w:r>
        <w:rPr>
          <w:sz w:val="28"/>
          <w:szCs w:val="28"/>
        </w:rPr>
        <w:t xml:space="preserve"> тыся</w:t>
      </w:r>
      <w:r w:rsidR="00ED5EEB">
        <w:rPr>
          <w:sz w:val="28"/>
          <w:szCs w:val="28"/>
        </w:rPr>
        <w:t>ч рублей, в 2023 году – 7721,0</w:t>
      </w:r>
      <w:r>
        <w:rPr>
          <w:sz w:val="28"/>
          <w:szCs w:val="28"/>
        </w:rPr>
        <w:t xml:space="preserve"> ты</w:t>
      </w:r>
      <w:r w:rsidR="00ED5EEB">
        <w:rPr>
          <w:sz w:val="28"/>
          <w:szCs w:val="28"/>
        </w:rPr>
        <w:t>сяч</w:t>
      </w:r>
      <w:r w:rsidR="004265BC">
        <w:rPr>
          <w:sz w:val="28"/>
          <w:szCs w:val="28"/>
        </w:rPr>
        <w:t xml:space="preserve">а </w:t>
      </w:r>
      <w:r w:rsidR="00ED5EEB">
        <w:rPr>
          <w:sz w:val="28"/>
          <w:szCs w:val="28"/>
        </w:rPr>
        <w:t xml:space="preserve"> рублей (ежегодно не более 5,0</w:t>
      </w:r>
      <w:r>
        <w:rPr>
          <w:sz w:val="28"/>
          <w:szCs w:val="28"/>
        </w:rPr>
        <w:t>% к объему налоговых и неналоговых доходов).</w:t>
      </w:r>
    </w:p>
    <w:p w:rsidR="00AC4726" w:rsidRDefault="00AC4726" w:rsidP="00AC4726">
      <w:pPr>
        <w:rPr>
          <w:sz w:val="28"/>
          <w:szCs w:val="28"/>
        </w:rPr>
      </w:pPr>
      <w:r>
        <w:rPr>
          <w:sz w:val="28"/>
          <w:szCs w:val="28"/>
        </w:rPr>
        <w:t xml:space="preserve">                                                                                                              </w:t>
      </w:r>
    </w:p>
    <w:p w:rsidR="00AC4726" w:rsidRDefault="00AC4726" w:rsidP="00AC4726">
      <w:pPr>
        <w:jc w:val="center"/>
        <w:rPr>
          <w:b/>
          <w:sz w:val="28"/>
          <w:szCs w:val="28"/>
        </w:rPr>
      </w:pPr>
      <w:r>
        <w:rPr>
          <w:b/>
          <w:bCs/>
          <w:sz w:val="28"/>
          <w:szCs w:val="28"/>
        </w:rPr>
        <w:t xml:space="preserve">   </w:t>
      </w:r>
      <w:r>
        <w:rPr>
          <w:b/>
          <w:sz w:val="28"/>
          <w:szCs w:val="28"/>
        </w:rPr>
        <w:t>Основные характеристики проек</w:t>
      </w:r>
      <w:r w:rsidR="004265BC">
        <w:rPr>
          <w:b/>
          <w:sz w:val="28"/>
          <w:szCs w:val="28"/>
        </w:rPr>
        <w:t>та бюджета города Киржач</w:t>
      </w:r>
    </w:p>
    <w:p w:rsidR="00AC4726" w:rsidRDefault="00AC4726" w:rsidP="00AC4726">
      <w:pPr>
        <w:jc w:val="center"/>
        <w:rPr>
          <w:b/>
          <w:sz w:val="28"/>
          <w:szCs w:val="28"/>
        </w:rPr>
      </w:pPr>
      <w:r>
        <w:rPr>
          <w:b/>
          <w:sz w:val="28"/>
          <w:szCs w:val="28"/>
        </w:rPr>
        <w:t>на 2021 год и на плановый период 2022 и 2023 годов</w:t>
      </w:r>
    </w:p>
    <w:p w:rsidR="00AC4726" w:rsidRDefault="00AC4726" w:rsidP="00AC4726">
      <w:pPr>
        <w:jc w:val="center"/>
        <w:rPr>
          <w:sz w:val="28"/>
          <w:szCs w:val="28"/>
        </w:rPr>
      </w:pPr>
      <w:r>
        <w:rPr>
          <w:b/>
          <w:sz w:val="28"/>
          <w:szCs w:val="28"/>
        </w:rPr>
        <w:t>(без учета межбюджетных трансфертов, носящих целевой характер, из областн</w:t>
      </w:r>
      <w:r w:rsidR="004265BC">
        <w:rPr>
          <w:b/>
          <w:sz w:val="28"/>
          <w:szCs w:val="28"/>
        </w:rPr>
        <w:t>ого бюджета</w:t>
      </w:r>
      <w:r>
        <w:rPr>
          <w:b/>
          <w:bCs/>
          <w:sz w:val="28"/>
          <w:szCs w:val="28"/>
        </w:rPr>
        <w:t>)</w:t>
      </w:r>
      <w:r>
        <w:rPr>
          <w:sz w:val="28"/>
          <w:szCs w:val="28"/>
        </w:rPr>
        <w:t xml:space="preserve"> </w:t>
      </w:r>
    </w:p>
    <w:p w:rsidR="00AC4726" w:rsidRDefault="00AC4726" w:rsidP="00AC4726">
      <w:pPr>
        <w:jc w:val="right"/>
        <w:rPr>
          <w:sz w:val="20"/>
          <w:szCs w:val="20"/>
        </w:rPr>
      </w:pPr>
      <w:r>
        <w:t xml:space="preserve">                                                                                                                               Таблица 1</w:t>
      </w:r>
    </w:p>
    <w:p w:rsidR="00AC4726" w:rsidRDefault="00AC4726" w:rsidP="00AC4726">
      <w:pPr>
        <w:jc w:val="right"/>
      </w:pPr>
      <w:r>
        <w:t>тыс</w:t>
      </w:r>
      <w:proofErr w:type="gramStart"/>
      <w:r>
        <w:t>.р</w:t>
      </w:r>
      <w:proofErr w:type="gramEnd"/>
      <w:r>
        <w:t>уб.</w:t>
      </w:r>
    </w:p>
    <w:tbl>
      <w:tblPr>
        <w:tblpPr w:leftFromText="180" w:rightFromText="180" w:vertAnchor="text" w:horzAnchor="margin" w:tblpXSpec="center" w:tblpY="230"/>
        <w:tblW w:w="10349" w:type="dxa"/>
        <w:tblLook w:val="04A0"/>
      </w:tblPr>
      <w:tblGrid>
        <w:gridCol w:w="5797"/>
        <w:gridCol w:w="1423"/>
        <w:gridCol w:w="1707"/>
        <w:gridCol w:w="1422"/>
      </w:tblGrid>
      <w:tr w:rsidR="00AC4726" w:rsidTr="00AC4726">
        <w:trPr>
          <w:trHeight w:val="699"/>
        </w:trPr>
        <w:tc>
          <w:tcPr>
            <w:tcW w:w="5797" w:type="dxa"/>
            <w:tcBorders>
              <w:top w:val="single" w:sz="4" w:space="0" w:color="auto"/>
              <w:left w:val="single" w:sz="4" w:space="0" w:color="auto"/>
              <w:bottom w:val="single" w:sz="4" w:space="0" w:color="000000"/>
              <w:right w:val="single" w:sz="4" w:space="0" w:color="auto"/>
            </w:tcBorders>
            <w:vAlign w:val="center"/>
            <w:hideMark/>
          </w:tcPr>
          <w:p w:rsidR="00AC4726" w:rsidRDefault="00AC4726">
            <w:pPr>
              <w:jc w:val="center"/>
              <w:rPr>
                <w:bCs/>
              </w:rPr>
            </w:pPr>
            <w:r>
              <w:rPr>
                <w:bCs/>
              </w:rPr>
              <w:t>Показатели</w:t>
            </w:r>
          </w:p>
        </w:tc>
        <w:tc>
          <w:tcPr>
            <w:tcW w:w="1423" w:type="dxa"/>
            <w:tcBorders>
              <w:top w:val="single" w:sz="4" w:space="0" w:color="auto"/>
              <w:left w:val="nil"/>
              <w:bottom w:val="single" w:sz="4" w:space="0" w:color="auto"/>
              <w:right w:val="single" w:sz="4" w:space="0" w:color="auto"/>
            </w:tcBorders>
            <w:vAlign w:val="center"/>
            <w:hideMark/>
          </w:tcPr>
          <w:p w:rsidR="00AC4726" w:rsidRDefault="00AC4726">
            <w:pPr>
              <w:jc w:val="center"/>
              <w:rPr>
                <w:bCs/>
              </w:rPr>
            </w:pPr>
            <w:r>
              <w:rPr>
                <w:bCs/>
              </w:rPr>
              <w:t>2021 год (прогноз)</w:t>
            </w:r>
          </w:p>
        </w:tc>
        <w:tc>
          <w:tcPr>
            <w:tcW w:w="1707" w:type="dxa"/>
            <w:tcBorders>
              <w:top w:val="single" w:sz="4" w:space="0" w:color="auto"/>
              <w:left w:val="nil"/>
              <w:bottom w:val="single" w:sz="4" w:space="0" w:color="auto"/>
              <w:right w:val="single" w:sz="4" w:space="0" w:color="auto"/>
            </w:tcBorders>
            <w:vAlign w:val="center"/>
            <w:hideMark/>
          </w:tcPr>
          <w:p w:rsidR="00AC4726" w:rsidRDefault="00AC4726">
            <w:pPr>
              <w:jc w:val="center"/>
              <w:rPr>
                <w:bCs/>
              </w:rPr>
            </w:pPr>
            <w:r>
              <w:rPr>
                <w:bCs/>
              </w:rPr>
              <w:t xml:space="preserve">2022 год </w:t>
            </w:r>
          </w:p>
          <w:p w:rsidR="00AC4726" w:rsidRDefault="00AC4726">
            <w:pPr>
              <w:jc w:val="center"/>
              <w:rPr>
                <w:bCs/>
              </w:rPr>
            </w:pPr>
            <w:r>
              <w:rPr>
                <w:bCs/>
              </w:rPr>
              <w:t>(прогноз)</w:t>
            </w:r>
          </w:p>
        </w:tc>
        <w:tc>
          <w:tcPr>
            <w:tcW w:w="1422" w:type="dxa"/>
            <w:tcBorders>
              <w:top w:val="single" w:sz="4" w:space="0" w:color="auto"/>
              <w:left w:val="nil"/>
              <w:bottom w:val="single" w:sz="4" w:space="0" w:color="auto"/>
              <w:right w:val="single" w:sz="4" w:space="0" w:color="auto"/>
            </w:tcBorders>
            <w:vAlign w:val="center"/>
            <w:hideMark/>
          </w:tcPr>
          <w:p w:rsidR="00AC4726" w:rsidRDefault="00AC4726">
            <w:pPr>
              <w:jc w:val="center"/>
              <w:rPr>
                <w:bCs/>
              </w:rPr>
            </w:pPr>
            <w:r>
              <w:rPr>
                <w:bCs/>
              </w:rPr>
              <w:t>2023 год (прогноз)</w:t>
            </w:r>
          </w:p>
        </w:tc>
      </w:tr>
      <w:tr w:rsidR="00AC4726" w:rsidTr="00AC4726">
        <w:trPr>
          <w:trHeight w:val="409"/>
        </w:trPr>
        <w:tc>
          <w:tcPr>
            <w:tcW w:w="5797" w:type="dxa"/>
            <w:tcBorders>
              <w:top w:val="nil"/>
              <w:left w:val="single" w:sz="8" w:space="0" w:color="auto"/>
              <w:bottom w:val="single" w:sz="4" w:space="0" w:color="auto"/>
              <w:right w:val="single" w:sz="4" w:space="0" w:color="auto"/>
            </w:tcBorders>
            <w:vAlign w:val="center"/>
            <w:hideMark/>
          </w:tcPr>
          <w:p w:rsidR="00AC4726" w:rsidRDefault="00AC4726">
            <w:pPr>
              <w:rPr>
                <w:b/>
                <w:bCs/>
              </w:rPr>
            </w:pPr>
            <w:r>
              <w:rPr>
                <w:b/>
                <w:bCs/>
              </w:rPr>
              <w:t>Доходы – всего</w:t>
            </w:r>
          </w:p>
        </w:tc>
        <w:tc>
          <w:tcPr>
            <w:tcW w:w="1423" w:type="dxa"/>
            <w:tcBorders>
              <w:top w:val="single" w:sz="4" w:space="0" w:color="auto"/>
              <w:left w:val="nil"/>
              <w:bottom w:val="single" w:sz="4" w:space="0" w:color="auto"/>
              <w:right w:val="single" w:sz="4" w:space="0" w:color="auto"/>
            </w:tcBorders>
            <w:vAlign w:val="center"/>
            <w:hideMark/>
          </w:tcPr>
          <w:p w:rsidR="00AC4726" w:rsidRDefault="00F02A7D">
            <w:pPr>
              <w:jc w:val="center"/>
              <w:rPr>
                <w:b/>
                <w:bCs/>
              </w:rPr>
            </w:pPr>
            <w:r>
              <w:rPr>
                <w:b/>
                <w:bCs/>
              </w:rPr>
              <w:t>149959,0</w:t>
            </w:r>
          </w:p>
        </w:tc>
        <w:tc>
          <w:tcPr>
            <w:tcW w:w="1707" w:type="dxa"/>
            <w:tcBorders>
              <w:top w:val="single" w:sz="4" w:space="0" w:color="auto"/>
              <w:left w:val="nil"/>
              <w:bottom w:val="single" w:sz="4" w:space="0" w:color="auto"/>
              <w:right w:val="single" w:sz="4" w:space="0" w:color="auto"/>
            </w:tcBorders>
            <w:vAlign w:val="center"/>
            <w:hideMark/>
          </w:tcPr>
          <w:p w:rsidR="00AC4726" w:rsidRDefault="00F02A7D">
            <w:pPr>
              <w:jc w:val="center"/>
              <w:rPr>
                <w:b/>
                <w:bCs/>
              </w:rPr>
            </w:pPr>
            <w:r>
              <w:rPr>
                <w:b/>
                <w:bCs/>
              </w:rPr>
              <w:t>149775,0</w:t>
            </w:r>
          </w:p>
        </w:tc>
        <w:tc>
          <w:tcPr>
            <w:tcW w:w="1422" w:type="dxa"/>
            <w:tcBorders>
              <w:top w:val="single" w:sz="4" w:space="0" w:color="auto"/>
              <w:left w:val="nil"/>
              <w:bottom w:val="single" w:sz="4" w:space="0" w:color="auto"/>
              <w:right w:val="single" w:sz="4" w:space="0" w:color="auto"/>
            </w:tcBorders>
            <w:vAlign w:val="center"/>
            <w:hideMark/>
          </w:tcPr>
          <w:p w:rsidR="00AC4726" w:rsidRDefault="00F02A7D">
            <w:pPr>
              <w:jc w:val="center"/>
              <w:rPr>
                <w:b/>
                <w:bCs/>
              </w:rPr>
            </w:pPr>
            <w:r>
              <w:rPr>
                <w:b/>
                <w:bCs/>
              </w:rPr>
              <w:t>154439,0</w:t>
            </w:r>
          </w:p>
        </w:tc>
      </w:tr>
      <w:tr w:rsidR="00AC4726" w:rsidTr="00AC4726">
        <w:trPr>
          <w:trHeight w:val="258"/>
        </w:trPr>
        <w:tc>
          <w:tcPr>
            <w:tcW w:w="5797" w:type="dxa"/>
            <w:tcBorders>
              <w:top w:val="nil"/>
              <w:left w:val="single" w:sz="8" w:space="0" w:color="auto"/>
              <w:bottom w:val="single" w:sz="4" w:space="0" w:color="auto"/>
              <w:right w:val="single" w:sz="4" w:space="0" w:color="auto"/>
            </w:tcBorders>
            <w:vAlign w:val="center"/>
            <w:hideMark/>
          </w:tcPr>
          <w:p w:rsidR="00AC4726" w:rsidRDefault="00AC4726">
            <w:r>
              <w:t xml:space="preserve">   в том числе:</w:t>
            </w:r>
          </w:p>
        </w:tc>
        <w:tc>
          <w:tcPr>
            <w:tcW w:w="1423" w:type="dxa"/>
            <w:tcBorders>
              <w:top w:val="nil"/>
              <w:left w:val="nil"/>
              <w:bottom w:val="single" w:sz="4" w:space="0" w:color="auto"/>
              <w:right w:val="single" w:sz="4" w:space="0" w:color="auto"/>
            </w:tcBorders>
            <w:vAlign w:val="center"/>
          </w:tcPr>
          <w:p w:rsidR="00AC4726" w:rsidRDefault="00AC4726">
            <w:pPr>
              <w:jc w:val="center"/>
            </w:pPr>
          </w:p>
        </w:tc>
        <w:tc>
          <w:tcPr>
            <w:tcW w:w="1707" w:type="dxa"/>
            <w:tcBorders>
              <w:top w:val="nil"/>
              <w:left w:val="nil"/>
              <w:bottom w:val="single" w:sz="4" w:space="0" w:color="auto"/>
              <w:right w:val="single" w:sz="4" w:space="0" w:color="auto"/>
            </w:tcBorders>
            <w:vAlign w:val="center"/>
          </w:tcPr>
          <w:p w:rsidR="00AC4726" w:rsidRDefault="00AC4726">
            <w:pPr>
              <w:jc w:val="center"/>
            </w:pPr>
          </w:p>
        </w:tc>
        <w:tc>
          <w:tcPr>
            <w:tcW w:w="1422" w:type="dxa"/>
            <w:tcBorders>
              <w:top w:val="nil"/>
              <w:left w:val="nil"/>
              <w:bottom w:val="single" w:sz="4" w:space="0" w:color="auto"/>
              <w:right w:val="single" w:sz="4" w:space="0" w:color="auto"/>
            </w:tcBorders>
            <w:vAlign w:val="center"/>
          </w:tcPr>
          <w:p w:rsidR="00AC4726" w:rsidRDefault="00AC4726">
            <w:pPr>
              <w:jc w:val="center"/>
            </w:pPr>
          </w:p>
        </w:tc>
      </w:tr>
      <w:tr w:rsidR="00AC4726" w:rsidTr="00AC4726">
        <w:trPr>
          <w:trHeight w:val="294"/>
        </w:trPr>
        <w:tc>
          <w:tcPr>
            <w:tcW w:w="5797" w:type="dxa"/>
            <w:tcBorders>
              <w:top w:val="nil"/>
              <w:left w:val="single" w:sz="8" w:space="0" w:color="auto"/>
              <w:bottom w:val="single" w:sz="4" w:space="0" w:color="auto"/>
              <w:right w:val="single" w:sz="4" w:space="0" w:color="auto"/>
            </w:tcBorders>
            <w:vAlign w:val="center"/>
            <w:hideMark/>
          </w:tcPr>
          <w:p w:rsidR="00AC4726" w:rsidRDefault="00AC4726">
            <w:r>
              <w:t>налоговые и неналоговые доходы</w:t>
            </w:r>
          </w:p>
        </w:tc>
        <w:tc>
          <w:tcPr>
            <w:tcW w:w="1423" w:type="dxa"/>
            <w:tcBorders>
              <w:top w:val="nil"/>
              <w:left w:val="nil"/>
              <w:bottom w:val="single" w:sz="4" w:space="0" w:color="auto"/>
              <w:right w:val="single" w:sz="4" w:space="0" w:color="auto"/>
            </w:tcBorders>
            <w:vAlign w:val="center"/>
            <w:hideMark/>
          </w:tcPr>
          <w:p w:rsidR="00AC4726" w:rsidRDefault="00F02A7D">
            <w:pPr>
              <w:jc w:val="center"/>
            </w:pPr>
            <w:r>
              <w:t>149949,0</w:t>
            </w:r>
          </w:p>
        </w:tc>
        <w:tc>
          <w:tcPr>
            <w:tcW w:w="1707" w:type="dxa"/>
            <w:tcBorders>
              <w:top w:val="nil"/>
              <w:left w:val="nil"/>
              <w:bottom w:val="single" w:sz="4" w:space="0" w:color="auto"/>
              <w:right w:val="single" w:sz="4" w:space="0" w:color="auto"/>
            </w:tcBorders>
            <w:vAlign w:val="center"/>
            <w:hideMark/>
          </w:tcPr>
          <w:p w:rsidR="00AC4726" w:rsidRDefault="00F02A7D">
            <w:pPr>
              <w:jc w:val="center"/>
            </w:pPr>
            <w:r>
              <w:t>149765,0</w:t>
            </w:r>
          </w:p>
        </w:tc>
        <w:tc>
          <w:tcPr>
            <w:tcW w:w="1422" w:type="dxa"/>
            <w:tcBorders>
              <w:top w:val="nil"/>
              <w:left w:val="nil"/>
              <w:bottom w:val="single" w:sz="4" w:space="0" w:color="auto"/>
              <w:right w:val="single" w:sz="4" w:space="0" w:color="auto"/>
            </w:tcBorders>
            <w:vAlign w:val="center"/>
            <w:hideMark/>
          </w:tcPr>
          <w:p w:rsidR="00AC4726" w:rsidRDefault="00F02A7D">
            <w:pPr>
              <w:jc w:val="center"/>
            </w:pPr>
            <w:r>
              <w:t>154429,0</w:t>
            </w:r>
          </w:p>
        </w:tc>
      </w:tr>
      <w:tr w:rsidR="00AC4726" w:rsidTr="00AC4726">
        <w:trPr>
          <w:trHeight w:val="364"/>
        </w:trPr>
        <w:tc>
          <w:tcPr>
            <w:tcW w:w="5797" w:type="dxa"/>
            <w:tcBorders>
              <w:top w:val="single" w:sz="4" w:space="0" w:color="auto"/>
              <w:left w:val="single" w:sz="4" w:space="0" w:color="auto"/>
              <w:bottom w:val="single" w:sz="4" w:space="0" w:color="auto"/>
              <w:right w:val="single" w:sz="4" w:space="0" w:color="auto"/>
            </w:tcBorders>
            <w:vAlign w:val="center"/>
            <w:hideMark/>
          </w:tcPr>
          <w:p w:rsidR="00AC4726" w:rsidRDefault="00AC4726">
            <w:pPr>
              <w:rPr>
                <w:b/>
                <w:bCs/>
              </w:rPr>
            </w:pPr>
            <w:r>
              <w:rPr>
                <w:b/>
                <w:bCs/>
              </w:rPr>
              <w:t>Расходы – всего</w:t>
            </w:r>
          </w:p>
        </w:tc>
        <w:tc>
          <w:tcPr>
            <w:tcW w:w="1423" w:type="dxa"/>
            <w:tcBorders>
              <w:top w:val="nil"/>
              <w:left w:val="nil"/>
              <w:bottom w:val="single" w:sz="4" w:space="0" w:color="auto"/>
              <w:right w:val="single" w:sz="4" w:space="0" w:color="auto"/>
            </w:tcBorders>
            <w:vAlign w:val="center"/>
            <w:hideMark/>
          </w:tcPr>
          <w:p w:rsidR="00AC4726" w:rsidRDefault="00F02A7D">
            <w:pPr>
              <w:jc w:val="center"/>
              <w:rPr>
                <w:b/>
                <w:bCs/>
              </w:rPr>
            </w:pPr>
            <w:r>
              <w:rPr>
                <w:b/>
                <w:bCs/>
              </w:rPr>
              <w:t>157456,0</w:t>
            </w:r>
          </w:p>
        </w:tc>
        <w:tc>
          <w:tcPr>
            <w:tcW w:w="1707" w:type="dxa"/>
            <w:tcBorders>
              <w:top w:val="nil"/>
              <w:left w:val="nil"/>
              <w:bottom w:val="single" w:sz="4" w:space="0" w:color="auto"/>
              <w:right w:val="single" w:sz="4" w:space="0" w:color="auto"/>
            </w:tcBorders>
            <w:vAlign w:val="center"/>
            <w:hideMark/>
          </w:tcPr>
          <w:p w:rsidR="00AC4726" w:rsidRDefault="00F02A7D">
            <w:pPr>
              <w:jc w:val="center"/>
              <w:rPr>
                <w:b/>
                <w:bCs/>
              </w:rPr>
            </w:pPr>
            <w:r>
              <w:rPr>
                <w:b/>
                <w:bCs/>
              </w:rPr>
              <w:t>157263,7</w:t>
            </w:r>
          </w:p>
        </w:tc>
        <w:tc>
          <w:tcPr>
            <w:tcW w:w="1422" w:type="dxa"/>
            <w:tcBorders>
              <w:top w:val="nil"/>
              <w:left w:val="nil"/>
              <w:bottom w:val="single" w:sz="4" w:space="0" w:color="auto"/>
              <w:right w:val="single" w:sz="4" w:space="0" w:color="auto"/>
            </w:tcBorders>
            <w:vAlign w:val="center"/>
            <w:hideMark/>
          </w:tcPr>
          <w:p w:rsidR="00AC4726" w:rsidRDefault="00F02A7D">
            <w:pPr>
              <w:jc w:val="center"/>
              <w:rPr>
                <w:b/>
                <w:bCs/>
              </w:rPr>
            </w:pPr>
            <w:r>
              <w:rPr>
                <w:b/>
                <w:bCs/>
              </w:rPr>
              <w:t>162160,0</w:t>
            </w:r>
          </w:p>
        </w:tc>
      </w:tr>
      <w:tr w:rsidR="00AC4726" w:rsidTr="00AC4726">
        <w:trPr>
          <w:trHeight w:val="258"/>
        </w:trPr>
        <w:tc>
          <w:tcPr>
            <w:tcW w:w="5797" w:type="dxa"/>
            <w:tcBorders>
              <w:top w:val="nil"/>
              <w:left w:val="single" w:sz="8" w:space="0" w:color="auto"/>
              <w:bottom w:val="single" w:sz="4" w:space="0" w:color="auto"/>
              <w:right w:val="single" w:sz="4" w:space="0" w:color="auto"/>
            </w:tcBorders>
            <w:vAlign w:val="center"/>
            <w:hideMark/>
          </w:tcPr>
          <w:p w:rsidR="00AC4726" w:rsidRDefault="00AC4726">
            <w:r>
              <w:t>из них:</w:t>
            </w:r>
          </w:p>
        </w:tc>
        <w:tc>
          <w:tcPr>
            <w:tcW w:w="1423" w:type="dxa"/>
            <w:tcBorders>
              <w:top w:val="nil"/>
              <w:left w:val="nil"/>
              <w:bottom w:val="single" w:sz="4" w:space="0" w:color="auto"/>
              <w:right w:val="single" w:sz="4" w:space="0" w:color="auto"/>
            </w:tcBorders>
            <w:vAlign w:val="center"/>
          </w:tcPr>
          <w:p w:rsidR="00AC4726" w:rsidRDefault="00AC4726">
            <w:pPr>
              <w:jc w:val="center"/>
              <w:rPr>
                <w:b/>
                <w:bCs/>
              </w:rPr>
            </w:pPr>
          </w:p>
        </w:tc>
        <w:tc>
          <w:tcPr>
            <w:tcW w:w="1707" w:type="dxa"/>
            <w:tcBorders>
              <w:top w:val="nil"/>
              <w:left w:val="nil"/>
              <w:bottom w:val="single" w:sz="4" w:space="0" w:color="auto"/>
              <w:right w:val="single" w:sz="4" w:space="0" w:color="auto"/>
            </w:tcBorders>
            <w:vAlign w:val="center"/>
          </w:tcPr>
          <w:p w:rsidR="00AC4726" w:rsidRDefault="00AC4726">
            <w:pPr>
              <w:jc w:val="center"/>
              <w:rPr>
                <w:b/>
                <w:bCs/>
              </w:rPr>
            </w:pPr>
          </w:p>
        </w:tc>
        <w:tc>
          <w:tcPr>
            <w:tcW w:w="1422" w:type="dxa"/>
            <w:tcBorders>
              <w:top w:val="nil"/>
              <w:left w:val="nil"/>
              <w:bottom w:val="single" w:sz="4" w:space="0" w:color="auto"/>
              <w:right w:val="single" w:sz="4" w:space="0" w:color="auto"/>
            </w:tcBorders>
            <w:vAlign w:val="center"/>
          </w:tcPr>
          <w:p w:rsidR="00AC4726" w:rsidRDefault="00AC4726">
            <w:pPr>
              <w:jc w:val="center"/>
              <w:rPr>
                <w:b/>
                <w:bCs/>
              </w:rPr>
            </w:pPr>
          </w:p>
        </w:tc>
      </w:tr>
      <w:tr w:rsidR="00AC4726" w:rsidTr="00AC4726">
        <w:trPr>
          <w:trHeight w:val="298"/>
        </w:trPr>
        <w:tc>
          <w:tcPr>
            <w:tcW w:w="5797" w:type="dxa"/>
            <w:tcBorders>
              <w:top w:val="nil"/>
              <w:left w:val="single" w:sz="4" w:space="0" w:color="auto"/>
              <w:bottom w:val="single" w:sz="4" w:space="0" w:color="auto"/>
              <w:right w:val="single" w:sz="4" w:space="0" w:color="auto"/>
            </w:tcBorders>
            <w:shd w:val="clear" w:color="auto" w:fill="FFFFFF"/>
            <w:vAlign w:val="center"/>
            <w:hideMark/>
          </w:tcPr>
          <w:p w:rsidR="00AC4726" w:rsidRDefault="00AC4726">
            <w:r>
              <w:t>условно-утверждаемые расходы</w:t>
            </w:r>
          </w:p>
        </w:tc>
        <w:tc>
          <w:tcPr>
            <w:tcW w:w="1423" w:type="dxa"/>
            <w:tcBorders>
              <w:top w:val="nil"/>
              <w:left w:val="nil"/>
              <w:bottom w:val="single" w:sz="4" w:space="0" w:color="auto"/>
              <w:right w:val="single" w:sz="4" w:space="0" w:color="auto"/>
            </w:tcBorders>
            <w:shd w:val="clear" w:color="auto" w:fill="FFFFFF"/>
            <w:vAlign w:val="center"/>
            <w:hideMark/>
          </w:tcPr>
          <w:p w:rsidR="00AC4726" w:rsidRDefault="00F02A7D">
            <w:pPr>
              <w:jc w:val="center"/>
            </w:pPr>
            <w:r>
              <w:t>0</w:t>
            </w:r>
          </w:p>
        </w:tc>
        <w:tc>
          <w:tcPr>
            <w:tcW w:w="1707" w:type="dxa"/>
            <w:tcBorders>
              <w:top w:val="nil"/>
              <w:left w:val="nil"/>
              <w:bottom w:val="single" w:sz="4" w:space="0" w:color="auto"/>
              <w:right w:val="single" w:sz="4" w:space="0" w:color="auto"/>
            </w:tcBorders>
            <w:shd w:val="clear" w:color="auto" w:fill="FFFFFF"/>
            <w:vAlign w:val="center"/>
            <w:hideMark/>
          </w:tcPr>
          <w:p w:rsidR="00AC4726" w:rsidRDefault="00F02A7D">
            <w:pPr>
              <w:jc w:val="center"/>
            </w:pPr>
            <w:r>
              <w:t>3932,0</w:t>
            </w:r>
          </w:p>
        </w:tc>
        <w:tc>
          <w:tcPr>
            <w:tcW w:w="1422" w:type="dxa"/>
            <w:tcBorders>
              <w:top w:val="nil"/>
              <w:left w:val="nil"/>
              <w:bottom w:val="single" w:sz="4" w:space="0" w:color="auto"/>
              <w:right w:val="single" w:sz="4" w:space="0" w:color="auto"/>
            </w:tcBorders>
            <w:shd w:val="clear" w:color="auto" w:fill="FFFFFF"/>
            <w:vAlign w:val="center"/>
            <w:hideMark/>
          </w:tcPr>
          <w:p w:rsidR="00AC4726" w:rsidRDefault="00F02A7D">
            <w:pPr>
              <w:jc w:val="center"/>
            </w:pPr>
            <w:r>
              <w:t>8108,0</w:t>
            </w:r>
          </w:p>
        </w:tc>
      </w:tr>
      <w:tr w:rsidR="00AC4726" w:rsidTr="00AC4726">
        <w:trPr>
          <w:trHeight w:val="485"/>
        </w:trPr>
        <w:tc>
          <w:tcPr>
            <w:tcW w:w="5797" w:type="dxa"/>
            <w:tcBorders>
              <w:top w:val="nil"/>
              <w:left w:val="single" w:sz="4" w:space="0" w:color="auto"/>
              <w:bottom w:val="single" w:sz="4" w:space="0" w:color="auto"/>
              <w:right w:val="single" w:sz="4" w:space="0" w:color="auto"/>
            </w:tcBorders>
            <w:shd w:val="clear" w:color="auto" w:fill="FFFFFF"/>
            <w:vAlign w:val="center"/>
            <w:hideMark/>
          </w:tcPr>
          <w:p w:rsidR="00AC4726" w:rsidRDefault="00AC4726">
            <w:r>
              <w:t>% условно утверждаемых расходов от общего объема расходов (без учета целевых безвозмездных поступлений)</w:t>
            </w:r>
          </w:p>
        </w:tc>
        <w:tc>
          <w:tcPr>
            <w:tcW w:w="1423" w:type="dxa"/>
            <w:tcBorders>
              <w:top w:val="nil"/>
              <w:left w:val="nil"/>
              <w:bottom w:val="single" w:sz="4" w:space="0" w:color="auto"/>
              <w:right w:val="single" w:sz="4" w:space="0" w:color="auto"/>
            </w:tcBorders>
            <w:shd w:val="clear" w:color="auto" w:fill="FFFFFF"/>
            <w:vAlign w:val="center"/>
            <w:hideMark/>
          </w:tcPr>
          <w:p w:rsidR="00AC4726" w:rsidRDefault="00F02A7D">
            <w:pPr>
              <w:jc w:val="center"/>
            </w:pPr>
            <w:r>
              <w:t>0</w:t>
            </w:r>
          </w:p>
        </w:tc>
        <w:tc>
          <w:tcPr>
            <w:tcW w:w="1707" w:type="dxa"/>
            <w:tcBorders>
              <w:top w:val="nil"/>
              <w:left w:val="nil"/>
              <w:bottom w:val="single" w:sz="4" w:space="0" w:color="auto"/>
              <w:right w:val="single" w:sz="4" w:space="0" w:color="auto"/>
            </w:tcBorders>
            <w:shd w:val="clear" w:color="auto" w:fill="FFFFFF"/>
            <w:vAlign w:val="center"/>
            <w:hideMark/>
          </w:tcPr>
          <w:p w:rsidR="00AC4726" w:rsidRDefault="00F02A7D">
            <w:pPr>
              <w:jc w:val="center"/>
            </w:pPr>
            <w:r>
              <w:t>2,5</w:t>
            </w:r>
          </w:p>
        </w:tc>
        <w:tc>
          <w:tcPr>
            <w:tcW w:w="1422" w:type="dxa"/>
            <w:tcBorders>
              <w:top w:val="nil"/>
              <w:left w:val="nil"/>
              <w:bottom w:val="single" w:sz="4" w:space="0" w:color="auto"/>
              <w:right w:val="single" w:sz="4" w:space="0" w:color="auto"/>
            </w:tcBorders>
            <w:shd w:val="clear" w:color="auto" w:fill="FFFFFF"/>
            <w:vAlign w:val="center"/>
            <w:hideMark/>
          </w:tcPr>
          <w:p w:rsidR="00AC4726" w:rsidRDefault="00F02A7D">
            <w:pPr>
              <w:jc w:val="center"/>
            </w:pPr>
            <w:r>
              <w:t>5,0</w:t>
            </w:r>
          </w:p>
        </w:tc>
      </w:tr>
      <w:tr w:rsidR="00AC4726" w:rsidTr="00AC4726">
        <w:trPr>
          <w:trHeight w:val="452"/>
        </w:trPr>
        <w:tc>
          <w:tcPr>
            <w:tcW w:w="5797" w:type="dxa"/>
            <w:tcBorders>
              <w:top w:val="nil"/>
              <w:left w:val="single" w:sz="4" w:space="0" w:color="auto"/>
              <w:bottom w:val="single" w:sz="4" w:space="0" w:color="auto"/>
              <w:right w:val="single" w:sz="4" w:space="0" w:color="auto"/>
            </w:tcBorders>
            <w:vAlign w:val="center"/>
            <w:hideMark/>
          </w:tcPr>
          <w:p w:rsidR="00AC4726" w:rsidRDefault="00AC4726">
            <w:pPr>
              <w:rPr>
                <w:b/>
                <w:bCs/>
              </w:rPr>
            </w:pPr>
            <w:r>
              <w:rPr>
                <w:b/>
                <w:bCs/>
              </w:rPr>
              <w:t>Дефицит</w:t>
            </w:r>
            <w:proofErr w:type="gramStart"/>
            <w:r>
              <w:rPr>
                <w:b/>
                <w:bCs/>
              </w:rPr>
              <w:t xml:space="preserve"> (-), </w:t>
            </w:r>
            <w:proofErr w:type="spellStart"/>
            <w:proofErr w:type="gramEnd"/>
            <w:r>
              <w:rPr>
                <w:b/>
                <w:bCs/>
              </w:rPr>
              <w:t>профицит</w:t>
            </w:r>
            <w:proofErr w:type="spellEnd"/>
            <w:r>
              <w:rPr>
                <w:b/>
                <w:bCs/>
              </w:rPr>
              <w:t xml:space="preserve"> (+)</w:t>
            </w:r>
          </w:p>
        </w:tc>
        <w:tc>
          <w:tcPr>
            <w:tcW w:w="1423" w:type="dxa"/>
            <w:tcBorders>
              <w:top w:val="nil"/>
              <w:left w:val="nil"/>
              <w:bottom w:val="single" w:sz="4" w:space="0" w:color="auto"/>
              <w:right w:val="single" w:sz="4" w:space="0" w:color="auto"/>
            </w:tcBorders>
            <w:vAlign w:val="center"/>
            <w:hideMark/>
          </w:tcPr>
          <w:p w:rsidR="00AC4726" w:rsidRDefault="00F02A7D">
            <w:pPr>
              <w:jc w:val="center"/>
              <w:rPr>
                <w:b/>
                <w:bCs/>
              </w:rPr>
            </w:pPr>
            <w:r>
              <w:rPr>
                <w:b/>
                <w:bCs/>
              </w:rPr>
              <w:t>-7497,4</w:t>
            </w:r>
          </w:p>
        </w:tc>
        <w:tc>
          <w:tcPr>
            <w:tcW w:w="1707" w:type="dxa"/>
            <w:tcBorders>
              <w:top w:val="nil"/>
              <w:left w:val="nil"/>
              <w:bottom w:val="single" w:sz="4" w:space="0" w:color="auto"/>
              <w:right w:val="single" w:sz="4" w:space="0" w:color="auto"/>
            </w:tcBorders>
            <w:vAlign w:val="center"/>
            <w:hideMark/>
          </w:tcPr>
          <w:p w:rsidR="00AC4726" w:rsidRDefault="00F02A7D">
            <w:pPr>
              <w:jc w:val="center"/>
              <w:rPr>
                <w:b/>
                <w:bCs/>
              </w:rPr>
            </w:pPr>
            <w:r>
              <w:rPr>
                <w:b/>
                <w:bCs/>
              </w:rPr>
              <w:t>-7488,7</w:t>
            </w:r>
          </w:p>
        </w:tc>
        <w:tc>
          <w:tcPr>
            <w:tcW w:w="1422" w:type="dxa"/>
            <w:tcBorders>
              <w:top w:val="nil"/>
              <w:left w:val="nil"/>
              <w:bottom w:val="single" w:sz="4" w:space="0" w:color="auto"/>
              <w:right w:val="single" w:sz="4" w:space="0" w:color="auto"/>
            </w:tcBorders>
            <w:vAlign w:val="center"/>
            <w:hideMark/>
          </w:tcPr>
          <w:p w:rsidR="00AC4726" w:rsidRDefault="00F02A7D">
            <w:pPr>
              <w:jc w:val="center"/>
              <w:rPr>
                <w:b/>
                <w:bCs/>
              </w:rPr>
            </w:pPr>
            <w:r>
              <w:rPr>
                <w:b/>
                <w:bCs/>
              </w:rPr>
              <w:t>-7721,0</w:t>
            </w:r>
          </w:p>
        </w:tc>
      </w:tr>
      <w:tr w:rsidR="00AC4726" w:rsidTr="00AC4726">
        <w:trPr>
          <w:trHeight w:val="394"/>
        </w:trPr>
        <w:tc>
          <w:tcPr>
            <w:tcW w:w="5797" w:type="dxa"/>
            <w:tcBorders>
              <w:top w:val="single" w:sz="4" w:space="0" w:color="auto"/>
              <w:left w:val="single" w:sz="4" w:space="0" w:color="auto"/>
              <w:bottom w:val="single" w:sz="4" w:space="0" w:color="auto"/>
              <w:right w:val="single" w:sz="4" w:space="0" w:color="auto"/>
            </w:tcBorders>
            <w:vAlign w:val="center"/>
            <w:hideMark/>
          </w:tcPr>
          <w:p w:rsidR="00AC4726" w:rsidRDefault="00AC4726">
            <w:pPr>
              <w:rPr>
                <w:b/>
                <w:bCs/>
              </w:rPr>
            </w:pPr>
            <w:r>
              <w:rPr>
                <w:b/>
                <w:bCs/>
              </w:rPr>
              <w:t>% дефицита к налоговым и неналоговым доходам</w:t>
            </w:r>
          </w:p>
        </w:tc>
        <w:tc>
          <w:tcPr>
            <w:tcW w:w="1423" w:type="dxa"/>
            <w:tcBorders>
              <w:top w:val="single" w:sz="4" w:space="0" w:color="auto"/>
              <w:left w:val="nil"/>
              <w:bottom w:val="single" w:sz="4" w:space="0" w:color="auto"/>
              <w:right w:val="single" w:sz="4" w:space="0" w:color="auto"/>
            </w:tcBorders>
            <w:vAlign w:val="center"/>
            <w:hideMark/>
          </w:tcPr>
          <w:p w:rsidR="00AC4726" w:rsidRDefault="00F02A7D">
            <w:pPr>
              <w:jc w:val="center"/>
              <w:rPr>
                <w:b/>
                <w:bCs/>
              </w:rPr>
            </w:pPr>
            <w:r>
              <w:rPr>
                <w:b/>
                <w:bCs/>
              </w:rPr>
              <w:t>5,0</w:t>
            </w:r>
          </w:p>
        </w:tc>
        <w:tc>
          <w:tcPr>
            <w:tcW w:w="1707" w:type="dxa"/>
            <w:tcBorders>
              <w:top w:val="single" w:sz="4" w:space="0" w:color="auto"/>
              <w:left w:val="nil"/>
              <w:bottom w:val="single" w:sz="4" w:space="0" w:color="auto"/>
              <w:right w:val="single" w:sz="4" w:space="0" w:color="auto"/>
            </w:tcBorders>
            <w:vAlign w:val="center"/>
            <w:hideMark/>
          </w:tcPr>
          <w:p w:rsidR="00AC4726" w:rsidRDefault="00F02A7D">
            <w:pPr>
              <w:jc w:val="center"/>
              <w:rPr>
                <w:b/>
                <w:bCs/>
              </w:rPr>
            </w:pPr>
            <w:r>
              <w:rPr>
                <w:b/>
                <w:bCs/>
              </w:rPr>
              <w:t>5,0</w:t>
            </w:r>
          </w:p>
        </w:tc>
        <w:tc>
          <w:tcPr>
            <w:tcW w:w="1422" w:type="dxa"/>
            <w:tcBorders>
              <w:top w:val="single" w:sz="4" w:space="0" w:color="auto"/>
              <w:left w:val="nil"/>
              <w:bottom w:val="single" w:sz="4" w:space="0" w:color="auto"/>
              <w:right w:val="single" w:sz="4" w:space="0" w:color="auto"/>
            </w:tcBorders>
            <w:vAlign w:val="center"/>
            <w:hideMark/>
          </w:tcPr>
          <w:p w:rsidR="00AC4726" w:rsidRDefault="00F02A7D">
            <w:pPr>
              <w:jc w:val="center"/>
              <w:rPr>
                <w:b/>
                <w:bCs/>
              </w:rPr>
            </w:pPr>
            <w:r>
              <w:rPr>
                <w:b/>
                <w:bCs/>
              </w:rPr>
              <w:t>5,0</w:t>
            </w:r>
          </w:p>
        </w:tc>
      </w:tr>
      <w:tr w:rsidR="00F02A7D" w:rsidTr="00AC4726">
        <w:trPr>
          <w:trHeight w:val="394"/>
        </w:trPr>
        <w:tc>
          <w:tcPr>
            <w:tcW w:w="5797" w:type="dxa"/>
            <w:tcBorders>
              <w:top w:val="single" w:sz="4" w:space="0" w:color="auto"/>
              <w:left w:val="single" w:sz="4" w:space="0" w:color="auto"/>
              <w:bottom w:val="single" w:sz="4" w:space="0" w:color="auto"/>
              <w:right w:val="single" w:sz="4" w:space="0" w:color="auto"/>
            </w:tcBorders>
            <w:vAlign w:val="center"/>
            <w:hideMark/>
          </w:tcPr>
          <w:p w:rsidR="00F02A7D" w:rsidRDefault="00F02A7D" w:rsidP="00F02A7D">
            <w:pPr>
              <w:rPr>
                <w:b/>
                <w:bCs/>
              </w:rPr>
            </w:pPr>
            <w:r>
              <w:rPr>
                <w:b/>
                <w:bCs/>
              </w:rPr>
              <w:t>Источники финансирования дефицита</w:t>
            </w:r>
          </w:p>
        </w:tc>
        <w:tc>
          <w:tcPr>
            <w:tcW w:w="1423" w:type="dxa"/>
            <w:tcBorders>
              <w:top w:val="single" w:sz="4" w:space="0" w:color="auto"/>
              <w:left w:val="nil"/>
              <w:bottom w:val="single" w:sz="4" w:space="0" w:color="auto"/>
              <w:right w:val="single" w:sz="4" w:space="0" w:color="auto"/>
            </w:tcBorders>
            <w:vAlign w:val="center"/>
            <w:hideMark/>
          </w:tcPr>
          <w:p w:rsidR="00F02A7D" w:rsidRDefault="00F02A7D" w:rsidP="00F02A7D">
            <w:pPr>
              <w:jc w:val="center"/>
              <w:rPr>
                <w:b/>
                <w:bCs/>
              </w:rPr>
            </w:pPr>
            <w:r>
              <w:rPr>
                <w:b/>
                <w:bCs/>
              </w:rPr>
              <w:t>7497,4</w:t>
            </w:r>
          </w:p>
        </w:tc>
        <w:tc>
          <w:tcPr>
            <w:tcW w:w="1707" w:type="dxa"/>
            <w:tcBorders>
              <w:top w:val="single" w:sz="4" w:space="0" w:color="auto"/>
              <w:left w:val="nil"/>
              <w:bottom w:val="single" w:sz="4" w:space="0" w:color="auto"/>
              <w:right w:val="single" w:sz="4" w:space="0" w:color="auto"/>
            </w:tcBorders>
            <w:vAlign w:val="center"/>
            <w:hideMark/>
          </w:tcPr>
          <w:p w:rsidR="00F02A7D" w:rsidRDefault="00F02A7D" w:rsidP="00F02A7D">
            <w:pPr>
              <w:jc w:val="center"/>
              <w:rPr>
                <w:b/>
                <w:bCs/>
              </w:rPr>
            </w:pPr>
            <w:r>
              <w:rPr>
                <w:b/>
                <w:bCs/>
              </w:rPr>
              <w:t>7488,7</w:t>
            </w:r>
          </w:p>
        </w:tc>
        <w:tc>
          <w:tcPr>
            <w:tcW w:w="1422" w:type="dxa"/>
            <w:tcBorders>
              <w:top w:val="single" w:sz="4" w:space="0" w:color="auto"/>
              <w:left w:val="nil"/>
              <w:bottom w:val="single" w:sz="4" w:space="0" w:color="auto"/>
              <w:right w:val="single" w:sz="4" w:space="0" w:color="auto"/>
            </w:tcBorders>
            <w:vAlign w:val="center"/>
            <w:hideMark/>
          </w:tcPr>
          <w:p w:rsidR="00F02A7D" w:rsidRDefault="00F02A7D" w:rsidP="00F02A7D">
            <w:pPr>
              <w:jc w:val="center"/>
              <w:rPr>
                <w:b/>
                <w:bCs/>
              </w:rPr>
            </w:pPr>
            <w:r>
              <w:rPr>
                <w:b/>
                <w:bCs/>
              </w:rPr>
              <w:t>7721,0</w:t>
            </w:r>
          </w:p>
        </w:tc>
      </w:tr>
      <w:tr w:rsidR="00AC4726" w:rsidTr="00AC4726">
        <w:trPr>
          <w:trHeight w:val="304"/>
        </w:trPr>
        <w:tc>
          <w:tcPr>
            <w:tcW w:w="5797" w:type="dxa"/>
            <w:tcBorders>
              <w:top w:val="single" w:sz="4" w:space="0" w:color="auto"/>
              <w:left w:val="single" w:sz="4" w:space="0" w:color="auto"/>
              <w:bottom w:val="single" w:sz="4" w:space="0" w:color="auto"/>
              <w:right w:val="single" w:sz="4" w:space="0" w:color="auto"/>
            </w:tcBorders>
            <w:vAlign w:val="center"/>
            <w:hideMark/>
          </w:tcPr>
          <w:p w:rsidR="00AC4726" w:rsidRDefault="00AC4726">
            <w:r>
              <w:t>в том числе:</w:t>
            </w:r>
          </w:p>
        </w:tc>
        <w:tc>
          <w:tcPr>
            <w:tcW w:w="1423" w:type="dxa"/>
            <w:tcBorders>
              <w:top w:val="single" w:sz="4" w:space="0" w:color="auto"/>
              <w:left w:val="nil"/>
              <w:bottom w:val="single" w:sz="4" w:space="0" w:color="auto"/>
              <w:right w:val="single" w:sz="4" w:space="0" w:color="auto"/>
            </w:tcBorders>
            <w:vAlign w:val="center"/>
            <w:hideMark/>
          </w:tcPr>
          <w:p w:rsidR="00AC4726" w:rsidRDefault="00AC4726">
            <w:pPr>
              <w:rPr>
                <w:rFonts w:ascii="Calibri" w:hAnsi="Calibri"/>
                <w:sz w:val="22"/>
                <w:szCs w:val="22"/>
              </w:rPr>
            </w:pPr>
          </w:p>
        </w:tc>
        <w:tc>
          <w:tcPr>
            <w:tcW w:w="1707" w:type="dxa"/>
            <w:tcBorders>
              <w:top w:val="single" w:sz="4" w:space="0" w:color="auto"/>
              <w:left w:val="nil"/>
              <w:bottom w:val="single" w:sz="4" w:space="0" w:color="auto"/>
              <w:right w:val="single" w:sz="4" w:space="0" w:color="auto"/>
            </w:tcBorders>
            <w:vAlign w:val="center"/>
            <w:hideMark/>
          </w:tcPr>
          <w:p w:rsidR="00AC4726" w:rsidRDefault="00AC4726">
            <w:pPr>
              <w:rPr>
                <w:rFonts w:ascii="Calibri" w:hAnsi="Calibri"/>
                <w:sz w:val="22"/>
                <w:szCs w:val="22"/>
              </w:rPr>
            </w:pPr>
          </w:p>
        </w:tc>
        <w:tc>
          <w:tcPr>
            <w:tcW w:w="1422" w:type="dxa"/>
            <w:tcBorders>
              <w:top w:val="single" w:sz="4" w:space="0" w:color="auto"/>
              <w:left w:val="nil"/>
              <w:bottom w:val="single" w:sz="4" w:space="0" w:color="auto"/>
              <w:right w:val="single" w:sz="4" w:space="0" w:color="auto"/>
            </w:tcBorders>
            <w:vAlign w:val="center"/>
            <w:hideMark/>
          </w:tcPr>
          <w:p w:rsidR="00AC4726" w:rsidRDefault="00AC4726">
            <w:pPr>
              <w:rPr>
                <w:rFonts w:ascii="Calibri" w:hAnsi="Calibri"/>
                <w:sz w:val="22"/>
                <w:szCs w:val="22"/>
              </w:rPr>
            </w:pPr>
          </w:p>
        </w:tc>
      </w:tr>
      <w:tr w:rsidR="00F02A7D" w:rsidTr="00AC4726">
        <w:trPr>
          <w:trHeight w:val="304"/>
        </w:trPr>
        <w:tc>
          <w:tcPr>
            <w:tcW w:w="5797" w:type="dxa"/>
            <w:tcBorders>
              <w:top w:val="single" w:sz="4" w:space="0" w:color="auto"/>
              <w:left w:val="single" w:sz="4" w:space="0" w:color="auto"/>
              <w:bottom w:val="single" w:sz="4" w:space="0" w:color="auto"/>
              <w:right w:val="single" w:sz="4" w:space="0" w:color="auto"/>
            </w:tcBorders>
            <w:vAlign w:val="center"/>
            <w:hideMark/>
          </w:tcPr>
          <w:p w:rsidR="00F02A7D" w:rsidRDefault="00F02A7D" w:rsidP="00F02A7D">
            <w:pPr>
              <w:rPr>
                <w:bCs/>
              </w:rPr>
            </w:pPr>
            <w:r>
              <w:t>получение кредитов кредитных организаций</w:t>
            </w:r>
          </w:p>
        </w:tc>
        <w:tc>
          <w:tcPr>
            <w:tcW w:w="1423" w:type="dxa"/>
            <w:tcBorders>
              <w:top w:val="single" w:sz="4" w:space="0" w:color="auto"/>
              <w:left w:val="nil"/>
              <w:bottom w:val="single" w:sz="4" w:space="0" w:color="auto"/>
              <w:right w:val="single" w:sz="4" w:space="0" w:color="auto"/>
            </w:tcBorders>
            <w:vAlign w:val="center"/>
            <w:hideMark/>
          </w:tcPr>
          <w:p w:rsidR="00F02A7D" w:rsidRPr="00F02A7D" w:rsidRDefault="00F02A7D" w:rsidP="00F02A7D">
            <w:pPr>
              <w:jc w:val="center"/>
              <w:rPr>
                <w:bCs/>
              </w:rPr>
            </w:pPr>
            <w:r w:rsidRPr="00F02A7D">
              <w:rPr>
                <w:bCs/>
              </w:rPr>
              <w:t>7497,4</w:t>
            </w:r>
          </w:p>
        </w:tc>
        <w:tc>
          <w:tcPr>
            <w:tcW w:w="1707" w:type="dxa"/>
            <w:tcBorders>
              <w:top w:val="single" w:sz="4" w:space="0" w:color="auto"/>
              <w:left w:val="nil"/>
              <w:bottom w:val="single" w:sz="4" w:space="0" w:color="auto"/>
              <w:right w:val="single" w:sz="4" w:space="0" w:color="auto"/>
            </w:tcBorders>
            <w:vAlign w:val="center"/>
            <w:hideMark/>
          </w:tcPr>
          <w:p w:rsidR="00F02A7D" w:rsidRPr="00F02A7D" w:rsidRDefault="00F02A7D" w:rsidP="00F02A7D">
            <w:pPr>
              <w:jc w:val="center"/>
              <w:rPr>
                <w:bCs/>
              </w:rPr>
            </w:pPr>
            <w:r w:rsidRPr="00F02A7D">
              <w:rPr>
                <w:bCs/>
              </w:rPr>
              <w:t>7488,7</w:t>
            </w:r>
          </w:p>
        </w:tc>
        <w:tc>
          <w:tcPr>
            <w:tcW w:w="1422" w:type="dxa"/>
            <w:tcBorders>
              <w:top w:val="single" w:sz="4" w:space="0" w:color="auto"/>
              <w:left w:val="nil"/>
              <w:bottom w:val="single" w:sz="4" w:space="0" w:color="auto"/>
              <w:right w:val="single" w:sz="4" w:space="0" w:color="auto"/>
            </w:tcBorders>
            <w:vAlign w:val="center"/>
            <w:hideMark/>
          </w:tcPr>
          <w:p w:rsidR="00F02A7D" w:rsidRPr="00F02A7D" w:rsidRDefault="00F02A7D" w:rsidP="00F02A7D">
            <w:pPr>
              <w:jc w:val="center"/>
              <w:rPr>
                <w:bCs/>
              </w:rPr>
            </w:pPr>
            <w:r w:rsidRPr="00F02A7D">
              <w:rPr>
                <w:bCs/>
              </w:rPr>
              <w:t>7721,0</w:t>
            </w:r>
          </w:p>
        </w:tc>
      </w:tr>
    </w:tbl>
    <w:p w:rsidR="00AC4726" w:rsidRDefault="00AC4726" w:rsidP="00AC4726">
      <w:pPr>
        <w:jc w:val="both"/>
        <w:rPr>
          <w:sz w:val="28"/>
          <w:szCs w:val="28"/>
        </w:rPr>
      </w:pPr>
      <w:r>
        <w:rPr>
          <w:sz w:val="28"/>
          <w:szCs w:val="28"/>
        </w:rPr>
        <w:t xml:space="preserve">         </w:t>
      </w:r>
    </w:p>
    <w:p w:rsidR="00AC4726" w:rsidRDefault="00AC4726" w:rsidP="00AC4726">
      <w:pPr>
        <w:ind w:firstLine="567"/>
        <w:jc w:val="both"/>
        <w:rPr>
          <w:sz w:val="28"/>
          <w:szCs w:val="28"/>
        </w:rPr>
      </w:pPr>
      <w:r>
        <w:rPr>
          <w:sz w:val="28"/>
          <w:szCs w:val="28"/>
        </w:rPr>
        <w:t xml:space="preserve">Сложившаяся в результате расчетов бюджетных </w:t>
      </w:r>
      <w:proofErr w:type="gramStart"/>
      <w:r>
        <w:rPr>
          <w:sz w:val="28"/>
          <w:szCs w:val="28"/>
        </w:rPr>
        <w:t>ассигнований</w:t>
      </w:r>
      <w:proofErr w:type="gramEnd"/>
      <w:r>
        <w:rPr>
          <w:sz w:val="28"/>
          <w:szCs w:val="28"/>
        </w:rPr>
        <w:t xml:space="preserve"> на исполнение действующих и принимаемых расходных обязательств муниципальн</w:t>
      </w:r>
      <w:r w:rsidR="00465295">
        <w:rPr>
          <w:sz w:val="28"/>
          <w:szCs w:val="28"/>
        </w:rPr>
        <w:t>ого образования город Киржач</w:t>
      </w:r>
      <w:r>
        <w:rPr>
          <w:sz w:val="28"/>
          <w:szCs w:val="28"/>
        </w:rPr>
        <w:t xml:space="preserve"> предварительная оценка объемов расход</w:t>
      </w:r>
      <w:r w:rsidR="00465295">
        <w:rPr>
          <w:sz w:val="28"/>
          <w:szCs w:val="28"/>
        </w:rPr>
        <w:t>ов бюджета города Киржач</w:t>
      </w:r>
      <w:r>
        <w:rPr>
          <w:sz w:val="28"/>
          <w:szCs w:val="28"/>
        </w:rPr>
        <w:t xml:space="preserve"> по основным функциональным направлениям в 2021-2023 годах представлена в таблице 2.</w:t>
      </w:r>
    </w:p>
    <w:p w:rsidR="00AC4726" w:rsidRDefault="00AC4726" w:rsidP="00AC4726">
      <w:pPr>
        <w:jc w:val="right"/>
        <w:rPr>
          <w:sz w:val="28"/>
          <w:szCs w:val="28"/>
        </w:rPr>
      </w:pPr>
      <w:r>
        <w:rPr>
          <w:sz w:val="28"/>
          <w:szCs w:val="28"/>
        </w:rPr>
        <w:t xml:space="preserve">                                                                 </w:t>
      </w:r>
    </w:p>
    <w:p w:rsidR="00AC4726" w:rsidRDefault="00AC4726" w:rsidP="00AC4726">
      <w:pPr>
        <w:jc w:val="center"/>
        <w:rPr>
          <w:b/>
          <w:bCs/>
          <w:sz w:val="28"/>
          <w:szCs w:val="28"/>
        </w:rPr>
      </w:pPr>
      <w:r>
        <w:rPr>
          <w:b/>
          <w:bCs/>
          <w:sz w:val="28"/>
          <w:szCs w:val="28"/>
        </w:rPr>
        <w:lastRenderedPageBreak/>
        <w:t xml:space="preserve">Распределение бюджетных ассигнований на исполнение действующих  и  принимаемых  расходных обязательств по разделам классификации </w:t>
      </w:r>
    </w:p>
    <w:p w:rsidR="00AC4726" w:rsidRDefault="00AC4726" w:rsidP="00AC4726">
      <w:pPr>
        <w:jc w:val="center"/>
        <w:rPr>
          <w:sz w:val="28"/>
          <w:szCs w:val="28"/>
        </w:rPr>
      </w:pPr>
      <w:r>
        <w:rPr>
          <w:b/>
          <w:bCs/>
          <w:sz w:val="28"/>
          <w:szCs w:val="28"/>
        </w:rPr>
        <w:t>расход</w:t>
      </w:r>
      <w:r w:rsidR="001B27CB">
        <w:rPr>
          <w:b/>
          <w:bCs/>
          <w:sz w:val="28"/>
          <w:szCs w:val="28"/>
        </w:rPr>
        <w:t>ов бюджета города Киржач</w:t>
      </w:r>
      <w:r>
        <w:rPr>
          <w:b/>
          <w:bCs/>
          <w:sz w:val="28"/>
          <w:szCs w:val="28"/>
        </w:rPr>
        <w:t xml:space="preserve">  на 2021 год и на плановый период 2022 и 2023 годов</w:t>
      </w:r>
    </w:p>
    <w:p w:rsidR="00AC4726" w:rsidRDefault="00AC4726" w:rsidP="00AC4726">
      <w:pPr>
        <w:jc w:val="right"/>
        <w:rPr>
          <w:sz w:val="20"/>
          <w:szCs w:val="20"/>
        </w:rPr>
      </w:pPr>
      <w:r>
        <w:t>Таблица 2</w:t>
      </w:r>
    </w:p>
    <w:p w:rsidR="00AC4726" w:rsidRDefault="00AC4726" w:rsidP="00AC4726">
      <w:pPr>
        <w:jc w:val="right"/>
      </w:pPr>
      <w:r>
        <w:t>тыс</w:t>
      </w:r>
      <w:proofErr w:type="gramStart"/>
      <w:r>
        <w:t>.р</w:t>
      </w:r>
      <w:proofErr w:type="gramEnd"/>
      <w:r>
        <w:t>уб.</w:t>
      </w:r>
    </w:p>
    <w:tbl>
      <w:tblPr>
        <w:tblW w:w="10308" w:type="dxa"/>
        <w:tblInd w:w="108" w:type="dxa"/>
        <w:tblLayout w:type="fixed"/>
        <w:tblLook w:val="04A0"/>
      </w:tblPr>
      <w:tblGrid>
        <w:gridCol w:w="2268"/>
        <w:gridCol w:w="3542"/>
        <w:gridCol w:w="1446"/>
        <w:gridCol w:w="1671"/>
        <w:gridCol w:w="1381"/>
      </w:tblGrid>
      <w:tr w:rsidR="00AC4726" w:rsidTr="00AC4726">
        <w:trPr>
          <w:trHeight w:val="459"/>
        </w:trPr>
        <w:tc>
          <w:tcPr>
            <w:tcW w:w="2268" w:type="dxa"/>
            <w:vMerge w:val="restart"/>
            <w:tcBorders>
              <w:top w:val="single" w:sz="4" w:space="0" w:color="auto"/>
              <w:left w:val="single" w:sz="4" w:space="0" w:color="auto"/>
              <w:bottom w:val="nil"/>
              <w:right w:val="single" w:sz="4" w:space="0" w:color="auto"/>
            </w:tcBorders>
            <w:hideMark/>
          </w:tcPr>
          <w:p w:rsidR="00AC4726" w:rsidRDefault="00AC4726">
            <w:pPr>
              <w:jc w:val="center"/>
              <w:rPr>
                <w:bCs/>
              </w:rPr>
            </w:pPr>
            <w:r>
              <w:rPr>
                <w:bCs/>
              </w:rPr>
              <w:t>Код раздела бюджетной классификации расходов</w:t>
            </w:r>
          </w:p>
        </w:tc>
        <w:tc>
          <w:tcPr>
            <w:tcW w:w="3542" w:type="dxa"/>
            <w:vMerge w:val="restart"/>
            <w:tcBorders>
              <w:top w:val="single" w:sz="4" w:space="0" w:color="auto"/>
              <w:left w:val="single" w:sz="4" w:space="0" w:color="auto"/>
              <w:bottom w:val="nil"/>
              <w:right w:val="single" w:sz="4" w:space="0" w:color="auto"/>
            </w:tcBorders>
            <w:hideMark/>
          </w:tcPr>
          <w:p w:rsidR="00AC4726" w:rsidRDefault="00AC4726">
            <w:pPr>
              <w:jc w:val="center"/>
              <w:rPr>
                <w:bCs/>
              </w:rPr>
            </w:pPr>
            <w:r>
              <w:rPr>
                <w:bCs/>
              </w:rPr>
              <w:t>Наименование разделов бюджетной классификации расходов</w:t>
            </w:r>
          </w:p>
        </w:tc>
        <w:tc>
          <w:tcPr>
            <w:tcW w:w="4498" w:type="dxa"/>
            <w:gridSpan w:val="3"/>
            <w:tcBorders>
              <w:top w:val="single" w:sz="4" w:space="0" w:color="auto"/>
              <w:left w:val="nil"/>
              <w:bottom w:val="single" w:sz="4" w:space="0" w:color="auto"/>
              <w:right w:val="single" w:sz="4" w:space="0" w:color="000000"/>
            </w:tcBorders>
            <w:hideMark/>
          </w:tcPr>
          <w:p w:rsidR="00AC4726" w:rsidRDefault="00AC4726">
            <w:pPr>
              <w:jc w:val="center"/>
              <w:rPr>
                <w:bCs/>
              </w:rPr>
            </w:pPr>
            <w:r>
              <w:rPr>
                <w:bCs/>
              </w:rPr>
              <w:t>Предельные объемы</w:t>
            </w:r>
          </w:p>
        </w:tc>
      </w:tr>
      <w:tr w:rsidR="00AC4726" w:rsidTr="00AC4726">
        <w:trPr>
          <w:trHeight w:val="345"/>
        </w:trPr>
        <w:tc>
          <w:tcPr>
            <w:tcW w:w="2268" w:type="dxa"/>
            <w:vMerge/>
            <w:tcBorders>
              <w:top w:val="single" w:sz="4" w:space="0" w:color="auto"/>
              <w:left w:val="single" w:sz="4" w:space="0" w:color="auto"/>
              <w:bottom w:val="nil"/>
              <w:right w:val="single" w:sz="4" w:space="0" w:color="auto"/>
            </w:tcBorders>
            <w:vAlign w:val="center"/>
            <w:hideMark/>
          </w:tcPr>
          <w:p w:rsidR="00AC4726" w:rsidRDefault="00AC4726">
            <w:pPr>
              <w:rPr>
                <w:bCs/>
              </w:rPr>
            </w:pPr>
          </w:p>
        </w:tc>
        <w:tc>
          <w:tcPr>
            <w:tcW w:w="3542" w:type="dxa"/>
            <w:vMerge/>
            <w:tcBorders>
              <w:top w:val="single" w:sz="4" w:space="0" w:color="auto"/>
              <w:left w:val="single" w:sz="4" w:space="0" w:color="auto"/>
              <w:bottom w:val="nil"/>
              <w:right w:val="single" w:sz="4" w:space="0" w:color="auto"/>
            </w:tcBorders>
            <w:vAlign w:val="center"/>
            <w:hideMark/>
          </w:tcPr>
          <w:p w:rsidR="00AC4726" w:rsidRDefault="00AC4726">
            <w:pPr>
              <w:rPr>
                <w:bCs/>
              </w:rPr>
            </w:pPr>
          </w:p>
        </w:tc>
        <w:tc>
          <w:tcPr>
            <w:tcW w:w="1446" w:type="dxa"/>
            <w:tcBorders>
              <w:top w:val="nil"/>
              <w:left w:val="nil"/>
              <w:bottom w:val="nil"/>
              <w:right w:val="single" w:sz="4" w:space="0" w:color="auto"/>
            </w:tcBorders>
            <w:vAlign w:val="center"/>
            <w:hideMark/>
          </w:tcPr>
          <w:p w:rsidR="00AC4726" w:rsidRDefault="00AC4726">
            <w:pPr>
              <w:jc w:val="center"/>
              <w:rPr>
                <w:bCs/>
              </w:rPr>
            </w:pPr>
            <w:r>
              <w:rPr>
                <w:bCs/>
              </w:rPr>
              <w:t>2021 год</w:t>
            </w:r>
          </w:p>
        </w:tc>
        <w:tc>
          <w:tcPr>
            <w:tcW w:w="1671" w:type="dxa"/>
            <w:vAlign w:val="center"/>
            <w:hideMark/>
          </w:tcPr>
          <w:p w:rsidR="00AC4726" w:rsidRDefault="00AC4726">
            <w:pPr>
              <w:jc w:val="center"/>
              <w:rPr>
                <w:bCs/>
              </w:rPr>
            </w:pPr>
            <w:r>
              <w:rPr>
                <w:bCs/>
              </w:rPr>
              <w:t>2022 год</w:t>
            </w:r>
          </w:p>
        </w:tc>
        <w:tc>
          <w:tcPr>
            <w:tcW w:w="1381" w:type="dxa"/>
            <w:tcBorders>
              <w:top w:val="nil"/>
              <w:left w:val="single" w:sz="4" w:space="0" w:color="auto"/>
              <w:bottom w:val="nil"/>
              <w:right w:val="single" w:sz="4" w:space="0" w:color="auto"/>
            </w:tcBorders>
            <w:noWrap/>
            <w:vAlign w:val="center"/>
            <w:hideMark/>
          </w:tcPr>
          <w:p w:rsidR="00AC4726" w:rsidRDefault="00AC4726">
            <w:pPr>
              <w:jc w:val="center"/>
              <w:rPr>
                <w:bCs/>
              </w:rPr>
            </w:pPr>
            <w:r>
              <w:rPr>
                <w:bCs/>
              </w:rPr>
              <w:t>2023 год</w:t>
            </w:r>
          </w:p>
        </w:tc>
      </w:tr>
      <w:tr w:rsidR="00AC4726" w:rsidTr="00AC4726">
        <w:trPr>
          <w:trHeight w:val="301"/>
        </w:trPr>
        <w:tc>
          <w:tcPr>
            <w:tcW w:w="2268" w:type="dxa"/>
            <w:tcBorders>
              <w:top w:val="single" w:sz="4" w:space="0" w:color="auto"/>
              <w:left w:val="single" w:sz="4" w:space="0" w:color="auto"/>
              <w:bottom w:val="single" w:sz="4" w:space="0" w:color="auto"/>
              <w:right w:val="single" w:sz="4" w:space="0" w:color="auto"/>
            </w:tcBorders>
            <w:vAlign w:val="center"/>
            <w:hideMark/>
          </w:tcPr>
          <w:p w:rsidR="00AC4726" w:rsidRDefault="00AC4726">
            <w:pPr>
              <w:jc w:val="center"/>
            </w:pPr>
            <w:r>
              <w:t>0100</w:t>
            </w:r>
          </w:p>
        </w:tc>
        <w:tc>
          <w:tcPr>
            <w:tcW w:w="3542" w:type="dxa"/>
            <w:tcBorders>
              <w:top w:val="single" w:sz="4" w:space="0" w:color="auto"/>
              <w:left w:val="nil"/>
              <w:bottom w:val="single" w:sz="4" w:space="0" w:color="auto"/>
              <w:right w:val="single" w:sz="4" w:space="0" w:color="auto"/>
            </w:tcBorders>
            <w:vAlign w:val="center"/>
            <w:hideMark/>
          </w:tcPr>
          <w:p w:rsidR="00AC4726" w:rsidRDefault="00AC4726">
            <w:r>
              <w:t>Общегосударственные вопросы</w:t>
            </w:r>
          </w:p>
        </w:tc>
        <w:tc>
          <w:tcPr>
            <w:tcW w:w="1446" w:type="dxa"/>
            <w:tcBorders>
              <w:top w:val="single" w:sz="4" w:space="0" w:color="auto"/>
              <w:left w:val="nil"/>
              <w:bottom w:val="single" w:sz="4" w:space="0" w:color="auto"/>
              <w:right w:val="single" w:sz="4" w:space="0" w:color="auto"/>
            </w:tcBorders>
            <w:vAlign w:val="center"/>
            <w:hideMark/>
          </w:tcPr>
          <w:p w:rsidR="00AC4726" w:rsidRDefault="00F831FD">
            <w:pPr>
              <w:jc w:val="center"/>
            </w:pPr>
            <w:r>
              <w:t>20189,5</w:t>
            </w:r>
          </w:p>
        </w:tc>
        <w:tc>
          <w:tcPr>
            <w:tcW w:w="1671" w:type="dxa"/>
            <w:tcBorders>
              <w:top w:val="single" w:sz="4" w:space="0" w:color="auto"/>
              <w:left w:val="nil"/>
              <w:bottom w:val="single" w:sz="4" w:space="0" w:color="auto"/>
              <w:right w:val="nil"/>
            </w:tcBorders>
            <w:vAlign w:val="center"/>
            <w:hideMark/>
          </w:tcPr>
          <w:p w:rsidR="00AC4726" w:rsidRDefault="00F831FD">
            <w:pPr>
              <w:jc w:val="center"/>
            </w:pPr>
            <w:r>
              <w:t>20189,5</w:t>
            </w:r>
          </w:p>
        </w:tc>
        <w:tc>
          <w:tcPr>
            <w:tcW w:w="1381" w:type="dxa"/>
            <w:tcBorders>
              <w:top w:val="single" w:sz="4" w:space="0" w:color="auto"/>
              <w:left w:val="single" w:sz="4" w:space="0" w:color="auto"/>
              <w:bottom w:val="single" w:sz="4" w:space="0" w:color="auto"/>
              <w:right w:val="single" w:sz="4" w:space="0" w:color="auto"/>
            </w:tcBorders>
            <w:vAlign w:val="center"/>
            <w:hideMark/>
          </w:tcPr>
          <w:p w:rsidR="00AC4726" w:rsidRDefault="00F831FD">
            <w:pPr>
              <w:jc w:val="center"/>
            </w:pPr>
            <w:r>
              <w:t>20189,5</w:t>
            </w:r>
          </w:p>
        </w:tc>
      </w:tr>
      <w:tr w:rsidR="00AC4726" w:rsidTr="00AC4726">
        <w:trPr>
          <w:trHeight w:val="363"/>
        </w:trPr>
        <w:tc>
          <w:tcPr>
            <w:tcW w:w="2268" w:type="dxa"/>
            <w:tcBorders>
              <w:top w:val="nil"/>
              <w:left w:val="single" w:sz="4" w:space="0" w:color="auto"/>
              <w:bottom w:val="single" w:sz="4" w:space="0" w:color="auto"/>
              <w:right w:val="single" w:sz="4" w:space="0" w:color="auto"/>
            </w:tcBorders>
            <w:noWrap/>
            <w:vAlign w:val="center"/>
            <w:hideMark/>
          </w:tcPr>
          <w:p w:rsidR="00AC4726" w:rsidRDefault="00AC4726">
            <w:pPr>
              <w:jc w:val="center"/>
            </w:pPr>
            <w:r>
              <w:t>0300</w:t>
            </w:r>
          </w:p>
        </w:tc>
        <w:tc>
          <w:tcPr>
            <w:tcW w:w="3542" w:type="dxa"/>
            <w:tcBorders>
              <w:top w:val="nil"/>
              <w:left w:val="nil"/>
              <w:bottom w:val="single" w:sz="4" w:space="0" w:color="auto"/>
              <w:right w:val="single" w:sz="4" w:space="0" w:color="auto"/>
            </w:tcBorders>
            <w:vAlign w:val="center"/>
            <w:hideMark/>
          </w:tcPr>
          <w:p w:rsidR="00AC4726" w:rsidRDefault="00AC4726">
            <w:r>
              <w:t>Национальная безопасность и правоохранительная деятельность</w:t>
            </w:r>
          </w:p>
        </w:tc>
        <w:tc>
          <w:tcPr>
            <w:tcW w:w="1446" w:type="dxa"/>
            <w:tcBorders>
              <w:top w:val="nil"/>
              <w:left w:val="nil"/>
              <w:bottom w:val="single" w:sz="4" w:space="0" w:color="auto"/>
              <w:right w:val="single" w:sz="4" w:space="0" w:color="auto"/>
            </w:tcBorders>
            <w:vAlign w:val="center"/>
            <w:hideMark/>
          </w:tcPr>
          <w:p w:rsidR="00AC4726" w:rsidRDefault="006F7462">
            <w:pPr>
              <w:jc w:val="center"/>
            </w:pPr>
            <w:r>
              <w:t>823,0</w:t>
            </w:r>
          </w:p>
        </w:tc>
        <w:tc>
          <w:tcPr>
            <w:tcW w:w="1671" w:type="dxa"/>
            <w:tcBorders>
              <w:top w:val="nil"/>
              <w:left w:val="nil"/>
              <w:bottom w:val="single" w:sz="4" w:space="0" w:color="auto"/>
              <w:right w:val="nil"/>
            </w:tcBorders>
            <w:vAlign w:val="center"/>
            <w:hideMark/>
          </w:tcPr>
          <w:p w:rsidR="00AC4726" w:rsidRDefault="00AD3BA2">
            <w:pPr>
              <w:jc w:val="center"/>
            </w:pPr>
            <w:r>
              <w:t>733,0</w:t>
            </w:r>
          </w:p>
        </w:tc>
        <w:tc>
          <w:tcPr>
            <w:tcW w:w="1381" w:type="dxa"/>
            <w:tcBorders>
              <w:top w:val="nil"/>
              <w:left w:val="single" w:sz="4" w:space="0" w:color="auto"/>
              <w:bottom w:val="single" w:sz="4" w:space="0" w:color="auto"/>
              <w:right w:val="single" w:sz="4" w:space="0" w:color="auto"/>
            </w:tcBorders>
            <w:vAlign w:val="center"/>
            <w:hideMark/>
          </w:tcPr>
          <w:p w:rsidR="00AC4726" w:rsidRDefault="00AD3BA2">
            <w:pPr>
              <w:jc w:val="center"/>
            </w:pPr>
            <w:r>
              <w:t>733,0</w:t>
            </w:r>
          </w:p>
        </w:tc>
      </w:tr>
      <w:tr w:rsidR="00AC4726" w:rsidTr="00AC4726">
        <w:trPr>
          <w:trHeight w:val="255"/>
        </w:trPr>
        <w:tc>
          <w:tcPr>
            <w:tcW w:w="2268" w:type="dxa"/>
            <w:tcBorders>
              <w:top w:val="nil"/>
              <w:left w:val="single" w:sz="4" w:space="0" w:color="auto"/>
              <w:bottom w:val="single" w:sz="4" w:space="0" w:color="auto"/>
              <w:right w:val="single" w:sz="4" w:space="0" w:color="auto"/>
            </w:tcBorders>
            <w:noWrap/>
            <w:vAlign w:val="center"/>
            <w:hideMark/>
          </w:tcPr>
          <w:p w:rsidR="00AC4726" w:rsidRDefault="00AC4726">
            <w:pPr>
              <w:jc w:val="center"/>
            </w:pPr>
            <w:r>
              <w:t>0400</w:t>
            </w:r>
          </w:p>
        </w:tc>
        <w:tc>
          <w:tcPr>
            <w:tcW w:w="3542" w:type="dxa"/>
            <w:tcBorders>
              <w:top w:val="nil"/>
              <w:left w:val="nil"/>
              <w:bottom w:val="single" w:sz="4" w:space="0" w:color="auto"/>
              <w:right w:val="single" w:sz="4" w:space="0" w:color="auto"/>
            </w:tcBorders>
            <w:vAlign w:val="center"/>
            <w:hideMark/>
          </w:tcPr>
          <w:p w:rsidR="00AC4726" w:rsidRDefault="00AC4726">
            <w:r>
              <w:t>Национальная экономика</w:t>
            </w:r>
          </w:p>
        </w:tc>
        <w:tc>
          <w:tcPr>
            <w:tcW w:w="1446" w:type="dxa"/>
            <w:tcBorders>
              <w:top w:val="nil"/>
              <w:left w:val="nil"/>
              <w:bottom w:val="single" w:sz="4" w:space="0" w:color="auto"/>
              <w:right w:val="single" w:sz="4" w:space="0" w:color="auto"/>
            </w:tcBorders>
            <w:vAlign w:val="center"/>
            <w:hideMark/>
          </w:tcPr>
          <w:p w:rsidR="00AC4726" w:rsidRDefault="006F7462">
            <w:pPr>
              <w:jc w:val="center"/>
            </w:pPr>
            <w:r>
              <w:t>45901,3</w:t>
            </w:r>
          </w:p>
        </w:tc>
        <w:tc>
          <w:tcPr>
            <w:tcW w:w="1671" w:type="dxa"/>
            <w:tcBorders>
              <w:top w:val="nil"/>
              <w:left w:val="nil"/>
              <w:bottom w:val="single" w:sz="4" w:space="0" w:color="auto"/>
              <w:right w:val="nil"/>
            </w:tcBorders>
            <w:vAlign w:val="center"/>
            <w:hideMark/>
          </w:tcPr>
          <w:p w:rsidR="00AC4726" w:rsidRDefault="006F7462">
            <w:pPr>
              <w:jc w:val="center"/>
            </w:pPr>
            <w:r>
              <w:t>46634,3</w:t>
            </w:r>
          </w:p>
        </w:tc>
        <w:tc>
          <w:tcPr>
            <w:tcW w:w="1381" w:type="dxa"/>
            <w:tcBorders>
              <w:top w:val="nil"/>
              <w:left w:val="single" w:sz="4" w:space="0" w:color="auto"/>
              <w:bottom w:val="single" w:sz="4" w:space="0" w:color="auto"/>
              <w:right w:val="single" w:sz="4" w:space="0" w:color="auto"/>
            </w:tcBorders>
            <w:vAlign w:val="center"/>
            <w:hideMark/>
          </w:tcPr>
          <w:p w:rsidR="00AC4726" w:rsidRDefault="006F7462">
            <w:pPr>
              <w:jc w:val="center"/>
            </w:pPr>
            <w:r>
              <w:t>47675,3</w:t>
            </w:r>
          </w:p>
        </w:tc>
      </w:tr>
      <w:tr w:rsidR="00AC4726" w:rsidTr="00AC4726">
        <w:trPr>
          <w:trHeight w:val="283"/>
        </w:trPr>
        <w:tc>
          <w:tcPr>
            <w:tcW w:w="2268" w:type="dxa"/>
            <w:tcBorders>
              <w:top w:val="nil"/>
              <w:left w:val="single" w:sz="4" w:space="0" w:color="auto"/>
              <w:bottom w:val="single" w:sz="4" w:space="0" w:color="auto"/>
              <w:right w:val="single" w:sz="4" w:space="0" w:color="auto"/>
            </w:tcBorders>
            <w:noWrap/>
            <w:vAlign w:val="center"/>
            <w:hideMark/>
          </w:tcPr>
          <w:p w:rsidR="00AC4726" w:rsidRDefault="00AC4726">
            <w:pPr>
              <w:jc w:val="center"/>
            </w:pPr>
            <w:r>
              <w:t>0500</w:t>
            </w:r>
          </w:p>
        </w:tc>
        <w:tc>
          <w:tcPr>
            <w:tcW w:w="3542" w:type="dxa"/>
            <w:tcBorders>
              <w:top w:val="nil"/>
              <w:left w:val="nil"/>
              <w:bottom w:val="single" w:sz="4" w:space="0" w:color="auto"/>
              <w:right w:val="single" w:sz="4" w:space="0" w:color="auto"/>
            </w:tcBorders>
            <w:vAlign w:val="center"/>
            <w:hideMark/>
          </w:tcPr>
          <w:p w:rsidR="00AC4726" w:rsidRDefault="00AC4726">
            <w:r>
              <w:t>Жилищно-коммунальное хозяйство</w:t>
            </w:r>
          </w:p>
        </w:tc>
        <w:tc>
          <w:tcPr>
            <w:tcW w:w="1446" w:type="dxa"/>
            <w:tcBorders>
              <w:top w:val="nil"/>
              <w:left w:val="nil"/>
              <w:bottom w:val="single" w:sz="4" w:space="0" w:color="auto"/>
              <w:right w:val="single" w:sz="4" w:space="0" w:color="auto"/>
            </w:tcBorders>
            <w:vAlign w:val="center"/>
            <w:hideMark/>
          </w:tcPr>
          <w:p w:rsidR="00AC4726" w:rsidRDefault="006F7462">
            <w:pPr>
              <w:jc w:val="center"/>
            </w:pPr>
            <w:r>
              <w:t>66713,4</w:t>
            </w:r>
          </w:p>
        </w:tc>
        <w:tc>
          <w:tcPr>
            <w:tcW w:w="1671" w:type="dxa"/>
            <w:tcBorders>
              <w:top w:val="nil"/>
              <w:left w:val="nil"/>
              <w:bottom w:val="single" w:sz="4" w:space="0" w:color="auto"/>
              <w:right w:val="nil"/>
            </w:tcBorders>
            <w:vAlign w:val="center"/>
            <w:hideMark/>
          </w:tcPr>
          <w:p w:rsidR="00AC4726" w:rsidRDefault="006F7462">
            <w:pPr>
              <w:jc w:val="center"/>
            </w:pPr>
            <w:r>
              <w:t>62520,9</w:t>
            </w:r>
          </w:p>
        </w:tc>
        <w:tc>
          <w:tcPr>
            <w:tcW w:w="1381" w:type="dxa"/>
            <w:tcBorders>
              <w:top w:val="nil"/>
              <w:left w:val="single" w:sz="4" w:space="0" w:color="auto"/>
              <w:bottom w:val="single" w:sz="4" w:space="0" w:color="auto"/>
              <w:right w:val="single" w:sz="4" w:space="0" w:color="auto"/>
            </w:tcBorders>
            <w:vAlign w:val="center"/>
            <w:hideMark/>
          </w:tcPr>
          <w:p w:rsidR="00AC4726" w:rsidRDefault="006F7462">
            <w:pPr>
              <w:jc w:val="center"/>
            </w:pPr>
            <w:r>
              <w:t>62410,2</w:t>
            </w:r>
          </w:p>
        </w:tc>
      </w:tr>
      <w:tr w:rsidR="00AC4726" w:rsidTr="00AC4726">
        <w:trPr>
          <w:trHeight w:val="90"/>
        </w:trPr>
        <w:tc>
          <w:tcPr>
            <w:tcW w:w="2268" w:type="dxa"/>
            <w:tcBorders>
              <w:top w:val="nil"/>
              <w:left w:val="single" w:sz="4" w:space="0" w:color="auto"/>
              <w:bottom w:val="single" w:sz="4" w:space="0" w:color="auto"/>
              <w:right w:val="single" w:sz="4" w:space="0" w:color="auto"/>
            </w:tcBorders>
            <w:noWrap/>
            <w:vAlign w:val="center"/>
            <w:hideMark/>
          </w:tcPr>
          <w:p w:rsidR="00AC4726" w:rsidRDefault="00AC4726">
            <w:pPr>
              <w:jc w:val="center"/>
            </w:pPr>
            <w:r>
              <w:t>0800</w:t>
            </w:r>
          </w:p>
        </w:tc>
        <w:tc>
          <w:tcPr>
            <w:tcW w:w="3542" w:type="dxa"/>
            <w:tcBorders>
              <w:top w:val="nil"/>
              <w:left w:val="nil"/>
              <w:bottom w:val="single" w:sz="4" w:space="0" w:color="auto"/>
              <w:right w:val="single" w:sz="4" w:space="0" w:color="auto"/>
            </w:tcBorders>
            <w:vAlign w:val="center"/>
            <w:hideMark/>
          </w:tcPr>
          <w:p w:rsidR="00AC4726" w:rsidRDefault="00AC4726">
            <w:r>
              <w:t>Культура, кинематография</w:t>
            </w:r>
          </w:p>
        </w:tc>
        <w:tc>
          <w:tcPr>
            <w:tcW w:w="1446" w:type="dxa"/>
            <w:tcBorders>
              <w:top w:val="nil"/>
              <w:left w:val="nil"/>
              <w:bottom w:val="single" w:sz="4" w:space="0" w:color="auto"/>
              <w:right w:val="single" w:sz="4" w:space="0" w:color="auto"/>
            </w:tcBorders>
            <w:vAlign w:val="center"/>
            <w:hideMark/>
          </w:tcPr>
          <w:p w:rsidR="00AC4726" w:rsidRDefault="006F7462">
            <w:pPr>
              <w:jc w:val="center"/>
            </w:pPr>
            <w:r>
              <w:t>10285,2</w:t>
            </w:r>
          </w:p>
        </w:tc>
        <w:tc>
          <w:tcPr>
            <w:tcW w:w="1671" w:type="dxa"/>
            <w:tcBorders>
              <w:top w:val="nil"/>
              <w:left w:val="nil"/>
              <w:bottom w:val="single" w:sz="4" w:space="0" w:color="auto"/>
              <w:right w:val="nil"/>
            </w:tcBorders>
            <w:vAlign w:val="center"/>
            <w:hideMark/>
          </w:tcPr>
          <w:p w:rsidR="00AC4726" w:rsidRDefault="006F7462">
            <w:pPr>
              <w:jc w:val="center"/>
            </w:pPr>
            <w:r>
              <w:t>10408,0</w:t>
            </w:r>
          </w:p>
        </w:tc>
        <w:tc>
          <w:tcPr>
            <w:tcW w:w="1381" w:type="dxa"/>
            <w:tcBorders>
              <w:top w:val="nil"/>
              <w:left w:val="single" w:sz="4" w:space="0" w:color="auto"/>
              <w:bottom w:val="single" w:sz="4" w:space="0" w:color="auto"/>
              <w:right w:val="single" w:sz="4" w:space="0" w:color="auto"/>
            </w:tcBorders>
            <w:vAlign w:val="center"/>
            <w:hideMark/>
          </w:tcPr>
          <w:p w:rsidR="00AC4726" w:rsidRDefault="006F7462">
            <w:pPr>
              <w:jc w:val="center"/>
            </w:pPr>
            <w:r>
              <w:t>10408,0</w:t>
            </w:r>
          </w:p>
        </w:tc>
      </w:tr>
      <w:tr w:rsidR="00AC4726" w:rsidTr="00AC4726">
        <w:trPr>
          <w:trHeight w:val="258"/>
        </w:trPr>
        <w:tc>
          <w:tcPr>
            <w:tcW w:w="2268" w:type="dxa"/>
            <w:tcBorders>
              <w:top w:val="nil"/>
              <w:left w:val="single" w:sz="4" w:space="0" w:color="auto"/>
              <w:bottom w:val="single" w:sz="4" w:space="0" w:color="auto"/>
              <w:right w:val="single" w:sz="4" w:space="0" w:color="auto"/>
            </w:tcBorders>
            <w:noWrap/>
            <w:vAlign w:val="center"/>
            <w:hideMark/>
          </w:tcPr>
          <w:p w:rsidR="00AC4726" w:rsidRDefault="00AC4726">
            <w:pPr>
              <w:jc w:val="center"/>
            </w:pPr>
            <w:r>
              <w:t>1000</w:t>
            </w:r>
          </w:p>
        </w:tc>
        <w:tc>
          <w:tcPr>
            <w:tcW w:w="3542" w:type="dxa"/>
            <w:tcBorders>
              <w:top w:val="nil"/>
              <w:left w:val="nil"/>
              <w:bottom w:val="single" w:sz="4" w:space="0" w:color="auto"/>
              <w:right w:val="single" w:sz="4" w:space="0" w:color="auto"/>
            </w:tcBorders>
            <w:vAlign w:val="center"/>
            <w:hideMark/>
          </w:tcPr>
          <w:p w:rsidR="00AC4726" w:rsidRDefault="00AC4726">
            <w:r>
              <w:t>Социальная политика</w:t>
            </w:r>
          </w:p>
        </w:tc>
        <w:tc>
          <w:tcPr>
            <w:tcW w:w="1446" w:type="dxa"/>
            <w:tcBorders>
              <w:top w:val="nil"/>
              <w:left w:val="nil"/>
              <w:bottom w:val="single" w:sz="4" w:space="0" w:color="auto"/>
              <w:right w:val="single" w:sz="4" w:space="0" w:color="auto"/>
            </w:tcBorders>
            <w:vAlign w:val="center"/>
            <w:hideMark/>
          </w:tcPr>
          <w:p w:rsidR="00AC4726" w:rsidRDefault="006F7462">
            <w:pPr>
              <w:jc w:val="center"/>
            </w:pPr>
            <w:r>
              <w:t>1210,5</w:t>
            </w:r>
          </w:p>
        </w:tc>
        <w:tc>
          <w:tcPr>
            <w:tcW w:w="1671" w:type="dxa"/>
            <w:tcBorders>
              <w:top w:val="nil"/>
              <w:left w:val="nil"/>
              <w:bottom w:val="single" w:sz="4" w:space="0" w:color="auto"/>
              <w:right w:val="nil"/>
            </w:tcBorders>
            <w:vAlign w:val="center"/>
            <w:hideMark/>
          </w:tcPr>
          <w:p w:rsidR="00AC4726" w:rsidRDefault="006F7462">
            <w:pPr>
              <w:jc w:val="center"/>
            </w:pPr>
            <w:r>
              <w:t>1160,5</w:t>
            </w:r>
          </w:p>
        </w:tc>
        <w:tc>
          <w:tcPr>
            <w:tcW w:w="1381" w:type="dxa"/>
            <w:tcBorders>
              <w:top w:val="nil"/>
              <w:left w:val="single" w:sz="4" w:space="0" w:color="auto"/>
              <w:bottom w:val="single" w:sz="4" w:space="0" w:color="auto"/>
              <w:right w:val="single" w:sz="4" w:space="0" w:color="auto"/>
            </w:tcBorders>
            <w:vAlign w:val="center"/>
            <w:hideMark/>
          </w:tcPr>
          <w:p w:rsidR="00AC4726" w:rsidRDefault="006F7462">
            <w:pPr>
              <w:jc w:val="center"/>
            </w:pPr>
            <w:r>
              <w:t>1160,5</w:t>
            </w:r>
          </w:p>
        </w:tc>
      </w:tr>
      <w:tr w:rsidR="00AC4726" w:rsidTr="00AC4726">
        <w:trPr>
          <w:trHeight w:val="258"/>
        </w:trPr>
        <w:tc>
          <w:tcPr>
            <w:tcW w:w="2268" w:type="dxa"/>
            <w:tcBorders>
              <w:top w:val="nil"/>
              <w:left w:val="single" w:sz="4" w:space="0" w:color="auto"/>
              <w:bottom w:val="single" w:sz="4" w:space="0" w:color="auto"/>
              <w:right w:val="single" w:sz="4" w:space="0" w:color="auto"/>
            </w:tcBorders>
            <w:noWrap/>
            <w:vAlign w:val="center"/>
            <w:hideMark/>
          </w:tcPr>
          <w:p w:rsidR="00AC4726" w:rsidRDefault="00AC4726">
            <w:pPr>
              <w:jc w:val="center"/>
            </w:pPr>
            <w:r>
              <w:t>1100</w:t>
            </w:r>
          </w:p>
        </w:tc>
        <w:tc>
          <w:tcPr>
            <w:tcW w:w="3542" w:type="dxa"/>
            <w:tcBorders>
              <w:top w:val="nil"/>
              <w:left w:val="nil"/>
              <w:bottom w:val="single" w:sz="4" w:space="0" w:color="auto"/>
              <w:right w:val="single" w:sz="4" w:space="0" w:color="auto"/>
            </w:tcBorders>
            <w:vAlign w:val="center"/>
            <w:hideMark/>
          </w:tcPr>
          <w:p w:rsidR="00AC4726" w:rsidRDefault="00AC4726">
            <w:r>
              <w:t>Физическая культура и спорт</w:t>
            </w:r>
          </w:p>
        </w:tc>
        <w:tc>
          <w:tcPr>
            <w:tcW w:w="1446" w:type="dxa"/>
            <w:tcBorders>
              <w:top w:val="nil"/>
              <w:left w:val="nil"/>
              <w:bottom w:val="single" w:sz="4" w:space="0" w:color="auto"/>
              <w:right w:val="single" w:sz="4" w:space="0" w:color="auto"/>
            </w:tcBorders>
            <w:vAlign w:val="center"/>
            <w:hideMark/>
          </w:tcPr>
          <w:p w:rsidR="00AC4726" w:rsidRDefault="006F7462">
            <w:pPr>
              <w:jc w:val="center"/>
            </w:pPr>
            <w:r>
              <w:t>9356,0</w:t>
            </w:r>
          </w:p>
        </w:tc>
        <w:tc>
          <w:tcPr>
            <w:tcW w:w="1671" w:type="dxa"/>
            <w:tcBorders>
              <w:top w:val="nil"/>
              <w:left w:val="nil"/>
              <w:bottom w:val="single" w:sz="4" w:space="0" w:color="auto"/>
              <w:right w:val="nil"/>
            </w:tcBorders>
            <w:vAlign w:val="center"/>
            <w:hideMark/>
          </w:tcPr>
          <w:p w:rsidR="00AC4726" w:rsidRDefault="006F7462">
            <w:pPr>
              <w:jc w:val="center"/>
            </w:pPr>
            <w:r>
              <w:t>8500,9</w:t>
            </w:r>
          </w:p>
        </w:tc>
        <w:tc>
          <w:tcPr>
            <w:tcW w:w="1381" w:type="dxa"/>
            <w:tcBorders>
              <w:top w:val="nil"/>
              <w:left w:val="single" w:sz="4" w:space="0" w:color="auto"/>
              <w:bottom w:val="single" w:sz="4" w:space="0" w:color="auto"/>
              <w:right w:val="single" w:sz="4" w:space="0" w:color="auto"/>
            </w:tcBorders>
            <w:vAlign w:val="center"/>
            <w:hideMark/>
          </w:tcPr>
          <w:p w:rsidR="00AC4726" w:rsidRDefault="006F7462">
            <w:pPr>
              <w:jc w:val="center"/>
            </w:pPr>
            <w:r>
              <w:t>8500,9</w:t>
            </w:r>
          </w:p>
        </w:tc>
      </w:tr>
      <w:tr w:rsidR="00AC4726" w:rsidTr="00AC4726">
        <w:trPr>
          <w:trHeight w:val="258"/>
        </w:trPr>
        <w:tc>
          <w:tcPr>
            <w:tcW w:w="2268" w:type="dxa"/>
            <w:tcBorders>
              <w:top w:val="nil"/>
              <w:left w:val="single" w:sz="4" w:space="0" w:color="auto"/>
              <w:bottom w:val="single" w:sz="4" w:space="0" w:color="auto"/>
              <w:right w:val="single" w:sz="4" w:space="0" w:color="auto"/>
            </w:tcBorders>
            <w:noWrap/>
            <w:vAlign w:val="center"/>
            <w:hideMark/>
          </w:tcPr>
          <w:p w:rsidR="00AC4726" w:rsidRDefault="00AC4726">
            <w:pPr>
              <w:jc w:val="center"/>
            </w:pPr>
            <w:r>
              <w:t>1300</w:t>
            </w:r>
          </w:p>
        </w:tc>
        <w:tc>
          <w:tcPr>
            <w:tcW w:w="3542" w:type="dxa"/>
            <w:tcBorders>
              <w:top w:val="nil"/>
              <w:left w:val="nil"/>
              <w:bottom w:val="single" w:sz="4" w:space="0" w:color="auto"/>
              <w:right w:val="single" w:sz="4" w:space="0" w:color="auto"/>
            </w:tcBorders>
            <w:vAlign w:val="center"/>
            <w:hideMark/>
          </w:tcPr>
          <w:p w:rsidR="00AC4726" w:rsidRDefault="00AC4726">
            <w:r>
              <w:t>Обслуживание государственного и муниципального долга</w:t>
            </w:r>
          </w:p>
        </w:tc>
        <w:tc>
          <w:tcPr>
            <w:tcW w:w="1446" w:type="dxa"/>
            <w:tcBorders>
              <w:top w:val="nil"/>
              <w:left w:val="nil"/>
              <w:bottom w:val="single" w:sz="4" w:space="0" w:color="auto"/>
              <w:right w:val="single" w:sz="4" w:space="0" w:color="auto"/>
            </w:tcBorders>
            <w:vAlign w:val="center"/>
            <w:hideMark/>
          </w:tcPr>
          <w:p w:rsidR="00AC4726" w:rsidRDefault="006F7462">
            <w:pPr>
              <w:jc w:val="center"/>
            </w:pPr>
            <w:r>
              <w:t>651,7</w:t>
            </w:r>
          </w:p>
        </w:tc>
        <w:tc>
          <w:tcPr>
            <w:tcW w:w="1671" w:type="dxa"/>
            <w:tcBorders>
              <w:top w:val="nil"/>
              <w:left w:val="nil"/>
              <w:bottom w:val="single" w:sz="4" w:space="0" w:color="auto"/>
              <w:right w:val="nil"/>
            </w:tcBorders>
            <w:vAlign w:val="center"/>
            <w:hideMark/>
          </w:tcPr>
          <w:p w:rsidR="00AC4726" w:rsidRDefault="006F7462">
            <w:pPr>
              <w:jc w:val="center"/>
            </w:pPr>
            <w:r>
              <w:t>839,9</w:t>
            </w:r>
          </w:p>
        </w:tc>
        <w:tc>
          <w:tcPr>
            <w:tcW w:w="1381" w:type="dxa"/>
            <w:tcBorders>
              <w:top w:val="nil"/>
              <w:left w:val="single" w:sz="4" w:space="0" w:color="auto"/>
              <w:bottom w:val="single" w:sz="4" w:space="0" w:color="auto"/>
              <w:right w:val="single" w:sz="4" w:space="0" w:color="auto"/>
            </w:tcBorders>
            <w:vAlign w:val="center"/>
            <w:hideMark/>
          </w:tcPr>
          <w:p w:rsidR="00AC4726" w:rsidRDefault="006F7462">
            <w:pPr>
              <w:jc w:val="center"/>
            </w:pPr>
            <w:r>
              <w:t>629,9</w:t>
            </w:r>
          </w:p>
        </w:tc>
      </w:tr>
      <w:tr w:rsidR="00AC4726" w:rsidTr="00AC4726">
        <w:trPr>
          <w:trHeight w:val="192"/>
        </w:trPr>
        <w:tc>
          <w:tcPr>
            <w:tcW w:w="2268" w:type="dxa"/>
            <w:tcBorders>
              <w:top w:val="nil"/>
              <w:left w:val="single" w:sz="4" w:space="0" w:color="auto"/>
              <w:bottom w:val="single" w:sz="4" w:space="0" w:color="auto"/>
              <w:right w:val="single" w:sz="4" w:space="0" w:color="auto"/>
            </w:tcBorders>
            <w:noWrap/>
            <w:vAlign w:val="center"/>
            <w:hideMark/>
          </w:tcPr>
          <w:p w:rsidR="00AC4726" w:rsidRDefault="00AC4726">
            <w:pPr>
              <w:jc w:val="center"/>
            </w:pPr>
            <w:r>
              <w:t>1400</w:t>
            </w:r>
          </w:p>
        </w:tc>
        <w:tc>
          <w:tcPr>
            <w:tcW w:w="3542" w:type="dxa"/>
            <w:tcBorders>
              <w:top w:val="nil"/>
              <w:left w:val="nil"/>
              <w:bottom w:val="single" w:sz="4" w:space="0" w:color="auto"/>
              <w:right w:val="single" w:sz="4" w:space="0" w:color="auto"/>
            </w:tcBorders>
            <w:vAlign w:val="center"/>
            <w:hideMark/>
          </w:tcPr>
          <w:p w:rsidR="00AC4726" w:rsidRDefault="00AC4726">
            <w:r>
              <w:t>Межбюджетные трансферты общего характера бюджетам субъектов Российской Федерации и муниципальных образований</w:t>
            </w:r>
          </w:p>
        </w:tc>
        <w:tc>
          <w:tcPr>
            <w:tcW w:w="1446" w:type="dxa"/>
            <w:tcBorders>
              <w:top w:val="nil"/>
              <w:left w:val="nil"/>
              <w:bottom w:val="single" w:sz="4" w:space="0" w:color="auto"/>
              <w:right w:val="single" w:sz="4" w:space="0" w:color="auto"/>
            </w:tcBorders>
            <w:vAlign w:val="center"/>
            <w:hideMark/>
          </w:tcPr>
          <w:p w:rsidR="00AC4726" w:rsidRDefault="006F7462">
            <w:pPr>
              <w:jc w:val="center"/>
            </w:pPr>
            <w:r>
              <w:t>2325,8</w:t>
            </w:r>
          </w:p>
        </w:tc>
        <w:tc>
          <w:tcPr>
            <w:tcW w:w="1671" w:type="dxa"/>
            <w:tcBorders>
              <w:top w:val="nil"/>
              <w:left w:val="nil"/>
              <w:bottom w:val="single" w:sz="4" w:space="0" w:color="auto"/>
              <w:right w:val="nil"/>
            </w:tcBorders>
            <w:vAlign w:val="center"/>
            <w:hideMark/>
          </w:tcPr>
          <w:p w:rsidR="00AC4726" w:rsidRDefault="006F7462">
            <w:pPr>
              <w:jc w:val="center"/>
            </w:pPr>
            <w:r>
              <w:t>2344,7</w:t>
            </w:r>
          </w:p>
        </w:tc>
        <w:tc>
          <w:tcPr>
            <w:tcW w:w="1381" w:type="dxa"/>
            <w:tcBorders>
              <w:top w:val="nil"/>
              <w:left w:val="single" w:sz="4" w:space="0" w:color="auto"/>
              <w:bottom w:val="single" w:sz="4" w:space="0" w:color="auto"/>
              <w:right w:val="single" w:sz="4" w:space="0" w:color="auto"/>
            </w:tcBorders>
            <w:vAlign w:val="center"/>
            <w:hideMark/>
          </w:tcPr>
          <w:p w:rsidR="00AC4726" w:rsidRDefault="006F7462">
            <w:pPr>
              <w:jc w:val="center"/>
            </w:pPr>
            <w:r>
              <w:t>2344,7</w:t>
            </w:r>
          </w:p>
        </w:tc>
      </w:tr>
      <w:tr w:rsidR="00AC4726" w:rsidTr="00AC4726">
        <w:trPr>
          <w:trHeight w:val="140"/>
        </w:trPr>
        <w:tc>
          <w:tcPr>
            <w:tcW w:w="2268" w:type="dxa"/>
            <w:vMerge w:val="restart"/>
            <w:tcBorders>
              <w:top w:val="single" w:sz="4" w:space="0" w:color="auto"/>
              <w:left w:val="single" w:sz="4" w:space="0" w:color="auto"/>
              <w:bottom w:val="single" w:sz="4" w:space="0" w:color="auto"/>
              <w:right w:val="single" w:sz="4" w:space="0" w:color="auto"/>
            </w:tcBorders>
            <w:noWrap/>
            <w:vAlign w:val="bottom"/>
            <w:hideMark/>
          </w:tcPr>
          <w:p w:rsidR="00AC4726" w:rsidRDefault="00AC4726">
            <w:pPr>
              <w:rPr>
                <w:rFonts w:ascii="Calibri" w:hAnsi="Calibri"/>
                <w:sz w:val="22"/>
                <w:szCs w:val="22"/>
              </w:rPr>
            </w:pPr>
          </w:p>
        </w:tc>
        <w:tc>
          <w:tcPr>
            <w:tcW w:w="3542" w:type="dxa"/>
            <w:tcBorders>
              <w:top w:val="single" w:sz="4" w:space="0" w:color="auto"/>
              <w:left w:val="nil"/>
              <w:bottom w:val="single" w:sz="4" w:space="0" w:color="auto"/>
              <w:right w:val="single" w:sz="4" w:space="0" w:color="auto"/>
            </w:tcBorders>
            <w:vAlign w:val="bottom"/>
            <w:hideMark/>
          </w:tcPr>
          <w:p w:rsidR="00AC4726" w:rsidRDefault="00AC4726">
            <w:pPr>
              <w:rPr>
                <w:b/>
                <w:bCs/>
              </w:rPr>
            </w:pPr>
            <w:r>
              <w:rPr>
                <w:b/>
                <w:bCs/>
              </w:rPr>
              <w:t>Итого расходов</w:t>
            </w:r>
          </w:p>
        </w:tc>
        <w:tc>
          <w:tcPr>
            <w:tcW w:w="1446" w:type="dxa"/>
            <w:tcBorders>
              <w:top w:val="single" w:sz="4" w:space="0" w:color="auto"/>
              <w:left w:val="nil"/>
              <w:bottom w:val="single" w:sz="4" w:space="0" w:color="auto"/>
              <w:right w:val="single" w:sz="4" w:space="0" w:color="auto"/>
            </w:tcBorders>
            <w:shd w:val="clear" w:color="auto" w:fill="FFFFFF"/>
            <w:vAlign w:val="bottom"/>
            <w:hideMark/>
          </w:tcPr>
          <w:p w:rsidR="00AC4726" w:rsidRDefault="006F7462">
            <w:pPr>
              <w:jc w:val="center"/>
              <w:rPr>
                <w:b/>
                <w:bCs/>
              </w:rPr>
            </w:pPr>
            <w:r>
              <w:rPr>
                <w:b/>
                <w:bCs/>
              </w:rPr>
              <w:t>157456,4</w:t>
            </w:r>
          </w:p>
        </w:tc>
        <w:tc>
          <w:tcPr>
            <w:tcW w:w="1671" w:type="dxa"/>
            <w:tcBorders>
              <w:top w:val="single" w:sz="4" w:space="0" w:color="auto"/>
              <w:left w:val="nil"/>
              <w:bottom w:val="single" w:sz="4" w:space="0" w:color="auto"/>
              <w:right w:val="single" w:sz="4" w:space="0" w:color="auto"/>
            </w:tcBorders>
            <w:shd w:val="clear" w:color="auto" w:fill="FFFFFF"/>
            <w:vAlign w:val="bottom"/>
            <w:hideMark/>
          </w:tcPr>
          <w:p w:rsidR="00AC4726" w:rsidRDefault="006F7462">
            <w:pPr>
              <w:jc w:val="center"/>
              <w:rPr>
                <w:b/>
                <w:bCs/>
              </w:rPr>
            </w:pPr>
            <w:r>
              <w:rPr>
                <w:b/>
                <w:bCs/>
              </w:rPr>
              <w:t>153331,7</w:t>
            </w:r>
          </w:p>
        </w:tc>
        <w:tc>
          <w:tcPr>
            <w:tcW w:w="1381" w:type="dxa"/>
            <w:tcBorders>
              <w:top w:val="single" w:sz="4" w:space="0" w:color="auto"/>
              <w:left w:val="nil"/>
              <w:bottom w:val="single" w:sz="4" w:space="0" w:color="auto"/>
              <w:right w:val="single" w:sz="4" w:space="0" w:color="auto"/>
            </w:tcBorders>
            <w:shd w:val="clear" w:color="auto" w:fill="FFFFFF"/>
            <w:vAlign w:val="bottom"/>
            <w:hideMark/>
          </w:tcPr>
          <w:p w:rsidR="00AC4726" w:rsidRDefault="006F7462">
            <w:pPr>
              <w:jc w:val="center"/>
              <w:rPr>
                <w:b/>
                <w:bCs/>
              </w:rPr>
            </w:pPr>
            <w:r>
              <w:rPr>
                <w:b/>
                <w:bCs/>
              </w:rPr>
              <w:t>154052,0</w:t>
            </w:r>
          </w:p>
        </w:tc>
      </w:tr>
      <w:tr w:rsidR="00AC4726" w:rsidTr="00AC4726">
        <w:trPr>
          <w:trHeight w:val="4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C4726" w:rsidRDefault="00AC4726">
            <w:pPr>
              <w:rPr>
                <w:rFonts w:ascii="Calibri" w:hAnsi="Calibri"/>
                <w:sz w:val="22"/>
                <w:szCs w:val="22"/>
              </w:rPr>
            </w:pPr>
          </w:p>
        </w:tc>
        <w:tc>
          <w:tcPr>
            <w:tcW w:w="3542" w:type="dxa"/>
            <w:tcBorders>
              <w:top w:val="nil"/>
              <w:left w:val="nil"/>
              <w:bottom w:val="single" w:sz="4" w:space="0" w:color="auto"/>
              <w:right w:val="single" w:sz="4" w:space="0" w:color="auto"/>
            </w:tcBorders>
            <w:vAlign w:val="bottom"/>
            <w:hideMark/>
          </w:tcPr>
          <w:p w:rsidR="00AC4726" w:rsidRDefault="00AC4726">
            <w:pPr>
              <w:rPr>
                <w:b/>
                <w:bCs/>
                <w:sz w:val="28"/>
                <w:szCs w:val="28"/>
              </w:rPr>
            </w:pPr>
            <w:r>
              <w:rPr>
                <w:b/>
                <w:bCs/>
                <w:sz w:val="28"/>
                <w:szCs w:val="28"/>
              </w:rPr>
              <w:t>Условно утверждаемые расходы</w:t>
            </w:r>
          </w:p>
        </w:tc>
        <w:tc>
          <w:tcPr>
            <w:tcW w:w="1446" w:type="dxa"/>
            <w:tcBorders>
              <w:top w:val="nil"/>
              <w:left w:val="nil"/>
              <w:bottom w:val="single" w:sz="4" w:space="0" w:color="auto"/>
              <w:right w:val="single" w:sz="4" w:space="0" w:color="auto"/>
            </w:tcBorders>
            <w:shd w:val="clear" w:color="auto" w:fill="FFFFFF"/>
            <w:vAlign w:val="bottom"/>
            <w:hideMark/>
          </w:tcPr>
          <w:p w:rsidR="00AC4726" w:rsidRDefault="006F7462">
            <w:pPr>
              <w:jc w:val="center"/>
              <w:rPr>
                <w:b/>
                <w:bCs/>
              </w:rPr>
            </w:pPr>
            <w:r>
              <w:rPr>
                <w:b/>
                <w:bCs/>
              </w:rPr>
              <w:t>0</w:t>
            </w:r>
          </w:p>
        </w:tc>
        <w:tc>
          <w:tcPr>
            <w:tcW w:w="1671" w:type="dxa"/>
            <w:tcBorders>
              <w:top w:val="nil"/>
              <w:left w:val="nil"/>
              <w:bottom w:val="single" w:sz="4" w:space="0" w:color="auto"/>
              <w:right w:val="single" w:sz="4" w:space="0" w:color="auto"/>
            </w:tcBorders>
            <w:shd w:val="clear" w:color="auto" w:fill="FFFFFF"/>
            <w:vAlign w:val="bottom"/>
            <w:hideMark/>
          </w:tcPr>
          <w:p w:rsidR="00AC4726" w:rsidRDefault="006F7462">
            <w:pPr>
              <w:jc w:val="center"/>
              <w:rPr>
                <w:b/>
                <w:bCs/>
              </w:rPr>
            </w:pPr>
            <w:r>
              <w:rPr>
                <w:b/>
                <w:bCs/>
              </w:rPr>
              <w:t>3932,0</w:t>
            </w:r>
          </w:p>
        </w:tc>
        <w:tc>
          <w:tcPr>
            <w:tcW w:w="1381" w:type="dxa"/>
            <w:tcBorders>
              <w:top w:val="nil"/>
              <w:left w:val="nil"/>
              <w:bottom w:val="single" w:sz="4" w:space="0" w:color="auto"/>
              <w:right w:val="single" w:sz="4" w:space="0" w:color="auto"/>
            </w:tcBorders>
            <w:shd w:val="clear" w:color="auto" w:fill="FFFFFF"/>
            <w:vAlign w:val="bottom"/>
            <w:hideMark/>
          </w:tcPr>
          <w:p w:rsidR="00AC4726" w:rsidRDefault="006F7462">
            <w:pPr>
              <w:jc w:val="center"/>
              <w:rPr>
                <w:b/>
                <w:bCs/>
              </w:rPr>
            </w:pPr>
            <w:r>
              <w:rPr>
                <w:b/>
                <w:bCs/>
              </w:rPr>
              <w:t>8108,0</w:t>
            </w:r>
          </w:p>
        </w:tc>
      </w:tr>
      <w:tr w:rsidR="00AC4726" w:rsidTr="00AC4726">
        <w:trPr>
          <w:trHeight w:val="1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C4726" w:rsidRDefault="00AC4726">
            <w:pPr>
              <w:rPr>
                <w:rFonts w:ascii="Calibri" w:hAnsi="Calibri"/>
                <w:sz w:val="22"/>
                <w:szCs w:val="22"/>
              </w:rPr>
            </w:pPr>
          </w:p>
        </w:tc>
        <w:tc>
          <w:tcPr>
            <w:tcW w:w="3542" w:type="dxa"/>
            <w:tcBorders>
              <w:top w:val="nil"/>
              <w:left w:val="nil"/>
              <w:bottom w:val="single" w:sz="4" w:space="0" w:color="auto"/>
              <w:right w:val="single" w:sz="4" w:space="0" w:color="auto"/>
            </w:tcBorders>
            <w:vAlign w:val="bottom"/>
            <w:hideMark/>
          </w:tcPr>
          <w:p w:rsidR="00AC4726" w:rsidRDefault="00AC4726">
            <w:pPr>
              <w:rPr>
                <w:b/>
                <w:bCs/>
                <w:sz w:val="28"/>
                <w:szCs w:val="28"/>
              </w:rPr>
            </w:pPr>
            <w:r>
              <w:rPr>
                <w:b/>
                <w:bCs/>
                <w:sz w:val="28"/>
                <w:szCs w:val="28"/>
              </w:rPr>
              <w:t>Всего расходов</w:t>
            </w:r>
          </w:p>
        </w:tc>
        <w:tc>
          <w:tcPr>
            <w:tcW w:w="1446" w:type="dxa"/>
            <w:tcBorders>
              <w:top w:val="nil"/>
              <w:left w:val="nil"/>
              <w:bottom w:val="single" w:sz="4" w:space="0" w:color="auto"/>
              <w:right w:val="single" w:sz="4" w:space="0" w:color="auto"/>
            </w:tcBorders>
            <w:shd w:val="clear" w:color="auto" w:fill="FFFFFF"/>
            <w:vAlign w:val="bottom"/>
            <w:hideMark/>
          </w:tcPr>
          <w:p w:rsidR="00AC4726" w:rsidRDefault="006F7462">
            <w:pPr>
              <w:jc w:val="center"/>
              <w:rPr>
                <w:b/>
                <w:bCs/>
              </w:rPr>
            </w:pPr>
            <w:r>
              <w:rPr>
                <w:b/>
                <w:bCs/>
              </w:rPr>
              <w:t>157456,4</w:t>
            </w:r>
          </w:p>
        </w:tc>
        <w:tc>
          <w:tcPr>
            <w:tcW w:w="1671" w:type="dxa"/>
            <w:tcBorders>
              <w:top w:val="nil"/>
              <w:left w:val="nil"/>
              <w:bottom w:val="single" w:sz="4" w:space="0" w:color="auto"/>
              <w:right w:val="single" w:sz="4" w:space="0" w:color="auto"/>
            </w:tcBorders>
            <w:shd w:val="clear" w:color="auto" w:fill="FFFFFF"/>
            <w:vAlign w:val="bottom"/>
            <w:hideMark/>
          </w:tcPr>
          <w:p w:rsidR="00AC4726" w:rsidRDefault="006F7462">
            <w:pPr>
              <w:jc w:val="center"/>
              <w:rPr>
                <w:b/>
                <w:bCs/>
              </w:rPr>
            </w:pPr>
            <w:r>
              <w:rPr>
                <w:b/>
                <w:bCs/>
              </w:rPr>
              <w:t>157263,7</w:t>
            </w:r>
          </w:p>
        </w:tc>
        <w:tc>
          <w:tcPr>
            <w:tcW w:w="1381" w:type="dxa"/>
            <w:tcBorders>
              <w:top w:val="nil"/>
              <w:left w:val="nil"/>
              <w:bottom w:val="single" w:sz="4" w:space="0" w:color="auto"/>
              <w:right w:val="single" w:sz="4" w:space="0" w:color="auto"/>
            </w:tcBorders>
            <w:shd w:val="clear" w:color="auto" w:fill="FFFFFF"/>
            <w:vAlign w:val="bottom"/>
            <w:hideMark/>
          </w:tcPr>
          <w:p w:rsidR="00AC4726" w:rsidRDefault="006F7462">
            <w:pPr>
              <w:jc w:val="center"/>
              <w:rPr>
                <w:b/>
                <w:bCs/>
              </w:rPr>
            </w:pPr>
            <w:r>
              <w:rPr>
                <w:b/>
                <w:bCs/>
              </w:rPr>
              <w:t>162160,0</w:t>
            </w:r>
          </w:p>
        </w:tc>
      </w:tr>
    </w:tbl>
    <w:p w:rsidR="00AC4726" w:rsidRDefault="00AC4726" w:rsidP="00AC4726">
      <w:pPr>
        <w:jc w:val="both"/>
        <w:rPr>
          <w:sz w:val="28"/>
          <w:szCs w:val="28"/>
        </w:rPr>
      </w:pPr>
      <w:r>
        <w:rPr>
          <w:sz w:val="28"/>
          <w:szCs w:val="28"/>
        </w:rPr>
        <w:t xml:space="preserve">        </w:t>
      </w:r>
    </w:p>
    <w:p w:rsidR="00FB411B" w:rsidRDefault="00952AB8" w:rsidP="00FB411B">
      <w:pPr>
        <w:autoSpaceDE w:val="0"/>
        <w:autoSpaceDN w:val="0"/>
        <w:adjustRightInd w:val="0"/>
        <w:jc w:val="both"/>
        <w:outlineLvl w:val="1"/>
        <w:rPr>
          <w:sz w:val="28"/>
          <w:szCs w:val="28"/>
        </w:rPr>
      </w:pPr>
      <w:r>
        <w:rPr>
          <w:sz w:val="28"/>
          <w:szCs w:val="28"/>
        </w:rPr>
        <w:t xml:space="preserve">       </w:t>
      </w:r>
      <w:proofErr w:type="gramStart"/>
      <w:r>
        <w:rPr>
          <w:sz w:val="28"/>
          <w:szCs w:val="28"/>
        </w:rPr>
        <w:t>Администрация города Киржач</w:t>
      </w:r>
      <w:r w:rsidR="00FB411B">
        <w:rPr>
          <w:sz w:val="28"/>
          <w:szCs w:val="28"/>
        </w:rPr>
        <w:t xml:space="preserve"> при подготовке проекта решения </w:t>
      </w:r>
      <w:r>
        <w:rPr>
          <w:sz w:val="28"/>
          <w:szCs w:val="28"/>
        </w:rPr>
        <w:t>Совета народных депутатов города о бюджете муниципального образования город Киржач</w:t>
      </w:r>
      <w:r w:rsidR="00FB411B">
        <w:rPr>
          <w:sz w:val="28"/>
          <w:szCs w:val="28"/>
        </w:rPr>
        <w:t xml:space="preserve"> на очередной финансовый год и на плановый период вправе вносить уточнения в ранее утвержденные бюджетные проектировки в связи с рассмотрением несогласованных вопросов по формированию бюджетных проектировок на очередной финансовый год и на плановый период, уточнением основных параметров социально-экономичес</w:t>
      </w:r>
      <w:r>
        <w:rPr>
          <w:sz w:val="28"/>
          <w:szCs w:val="28"/>
        </w:rPr>
        <w:t>кого развития города Киржач</w:t>
      </w:r>
      <w:r w:rsidR="00FB411B">
        <w:rPr>
          <w:sz w:val="28"/>
          <w:szCs w:val="28"/>
        </w:rPr>
        <w:t>, уточнением прогнозных</w:t>
      </w:r>
      <w:proofErr w:type="gramEnd"/>
      <w:r w:rsidR="00FB411B">
        <w:rPr>
          <w:sz w:val="28"/>
          <w:szCs w:val="28"/>
        </w:rPr>
        <w:t xml:space="preserve"> оценок администраторов доходов по поступлению доходо</w:t>
      </w:r>
      <w:r>
        <w:rPr>
          <w:sz w:val="28"/>
          <w:szCs w:val="28"/>
        </w:rPr>
        <w:t>в в бюджет города</w:t>
      </w:r>
      <w:r w:rsidR="00FB411B">
        <w:rPr>
          <w:sz w:val="28"/>
          <w:szCs w:val="28"/>
        </w:rPr>
        <w:t>, с учетом мероприятий по оптимизации расход</w:t>
      </w:r>
      <w:r>
        <w:rPr>
          <w:sz w:val="28"/>
          <w:szCs w:val="28"/>
        </w:rPr>
        <w:t>ов бюджета муниципального образования</w:t>
      </w:r>
      <w:r w:rsidR="00FB411B">
        <w:rPr>
          <w:sz w:val="28"/>
          <w:szCs w:val="28"/>
        </w:rPr>
        <w:t>, отсутствием утвержденных муниципальных программ и  изменением объемов межбюджетных трансфертов из област</w:t>
      </w:r>
      <w:r>
        <w:rPr>
          <w:sz w:val="28"/>
          <w:szCs w:val="28"/>
        </w:rPr>
        <w:t xml:space="preserve">ного бюджета, из бюджета  муниципального района </w:t>
      </w:r>
      <w:r w:rsidR="00FB411B">
        <w:rPr>
          <w:sz w:val="28"/>
          <w:szCs w:val="28"/>
        </w:rPr>
        <w:t xml:space="preserve">на передаваемые полномочия. </w:t>
      </w:r>
    </w:p>
    <w:p w:rsidR="004849D4" w:rsidRDefault="004849D4" w:rsidP="006C2C71">
      <w:pPr>
        <w:pStyle w:val="ConsPlusNormal"/>
        <w:ind w:firstLine="540"/>
        <w:jc w:val="center"/>
        <w:rPr>
          <w:rFonts w:ascii="Times New Roman" w:hAnsi="Times New Roman" w:cs="Times New Roman"/>
          <w:sz w:val="28"/>
          <w:szCs w:val="28"/>
        </w:rPr>
      </w:pPr>
    </w:p>
    <w:p w:rsidR="004849D4" w:rsidRDefault="004849D4" w:rsidP="006C2C71">
      <w:pPr>
        <w:pStyle w:val="ConsPlusNormal"/>
        <w:ind w:firstLine="540"/>
        <w:jc w:val="center"/>
        <w:rPr>
          <w:rFonts w:ascii="Times New Roman" w:hAnsi="Times New Roman" w:cs="Times New Roman"/>
          <w:sz w:val="28"/>
          <w:szCs w:val="28"/>
        </w:rPr>
      </w:pPr>
    </w:p>
    <w:p w:rsidR="004849D4" w:rsidRDefault="004849D4" w:rsidP="006C2C71">
      <w:pPr>
        <w:pStyle w:val="ConsPlusNormal"/>
        <w:ind w:firstLine="540"/>
        <w:jc w:val="center"/>
        <w:rPr>
          <w:rFonts w:ascii="Times New Roman" w:hAnsi="Times New Roman" w:cs="Times New Roman"/>
          <w:sz w:val="28"/>
          <w:szCs w:val="28"/>
        </w:rPr>
      </w:pPr>
    </w:p>
    <w:p w:rsidR="004849D4" w:rsidRDefault="004849D4" w:rsidP="006C2C71">
      <w:pPr>
        <w:pStyle w:val="ConsPlusNormal"/>
        <w:ind w:firstLine="540"/>
        <w:jc w:val="center"/>
        <w:rPr>
          <w:rFonts w:ascii="Times New Roman" w:hAnsi="Times New Roman" w:cs="Times New Roman"/>
          <w:sz w:val="28"/>
          <w:szCs w:val="28"/>
        </w:rPr>
      </w:pPr>
    </w:p>
    <w:p w:rsidR="00A674BC" w:rsidRDefault="00A674BC" w:rsidP="00FC64D6"/>
    <w:p w:rsidR="0025580B" w:rsidRDefault="0025580B" w:rsidP="00C67FAE">
      <w:pPr>
        <w:jc w:val="right"/>
      </w:pPr>
    </w:p>
    <w:p w:rsidR="00791243" w:rsidRDefault="00791243" w:rsidP="00AC4726">
      <w:pPr>
        <w:pStyle w:val="ConsPlusNormal"/>
        <w:ind w:firstLine="0"/>
        <w:rPr>
          <w:rFonts w:ascii="Times New Roman" w:hAnsi="Times New Roman" w:cs="Times New Roman"/>
          <w:sz w:val="28"/>
          <w:szCs w:val="28"/>
        </w:rPr>
      </w:pPr>
    </w:p>
    <w:sectPr w:rsidR="00791243" w:rsidSect="009D3BFF">
      <w:pgSz w:w="11907" w:h="16840" w:code="9"/>
      <w:pgMar w:top="567" w:right="851" w:bottom="426"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93B" w:rsidRDefault="0027693B" w:rsidP="00994C15">
      <w:r>
        <w:separator/>
      </w:r>
    </w:p>
  </w:endnote>
  <w:endnote w:type="continuationSeparator" w:id="0">
    <w:p w:rsidR="0027693B" w:rsidRDefault="0027693B" w:rsidP="00994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93B" w:rsidRDefault="0027693B" w:rsidP="00994C15">
      <w:r>
        <w:separator/>
      </w:r>
    </w:p>
  </w:footnote>
  <w:footnote w:type="continuationSeparator" w:id="0">
    <w:p w:rsidR="0027693B" w:rsidRDefault="0027693B" w:rsidP="00994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A39FC"/>
    <w:multiLevelType w:val="hybridMultilevel"/>
    <w:tmpl w:val="7BE22038"/>
    <w:lvl w:ilvl="0" w:tplc="5B5C5702">
      <w:start w:val="107"/>
      <w:numFmt w:val="bullet"/>
      <w:lvlText w:val=""/>
      <w:lvlJc w:val="left"/>
      <w:pPr>
        <w:ind w:left="1110" w:hanging="360"/>
      </w:pPr>
      <w:rPr>
        <w:rFonts w:ascii="Symbol" w:eastAsia="Times New Roman" w:hAnsi="Symbol"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
    <w:nsid w:val="1FAE1C6E"/>
    <w:multiLevelType w:val="hybridMultilevel"/>
    <w:tmpl w:val="31D4FECA"/>
    <w:lvl w:ilvl="0" w:tplc="5C58132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C19690E"/>
    <w:multiLevelType w:val="hybridMultilevel"/>
    <w:tmpl w:val="C0D67E8C"/>
    <w:lvl w:ilvl="0" w:tplc="96AA8C6E">
      <w:start w:val="107"/>
      <w:numFmt w:val="bullet"/>
      <w:lvlText w:val=""/>
      <w:lvlJc w:val="left"/>
      <w:pPr>
        <w:ind w:left="1470" w:hanging="360"/>
      </w:pPr>
      <w:rPr>
        <w:rFonts w:ascii="Symbol" w:eastAsia="Times New Roman" w:hAnsi="Symbol"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30C111C0"/>
    <w:multiLevelType w:val="multilevel"/>
    <w:tmpl w:val="D3D65EF6"/>
    <w:lvl w:ilvl="0">
      <w:start w:val="3"/>
      <w:numFmt w:val="upperRoman"/>
      <w:lvlText w:val="%1."/>
      <w:lvlJc w:val="left"/>
      <w:pPr>
        <w:ind w:left="1440" w:hanging="720"/>
      </w:pPr>
    </w:lvl>
    <w:lvl w:ilvl="1">
      <w:start w:val="3"/>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41BC042D"/>
    <w:multiLevelType w:val="hybridMultilevel"/>
    <w:tmpl w:val="60CCCA42"/>
    <w:lvl w:ilvl="0" w:tplc="B3F2F7E2">
      <w:start w:val="3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47D87CDD"/>
    <w:multiLevelType w:val="hybridMultilevel"/>
    <w:tmpl w:val="3FBC79F2"/>
    <w:lvl w:ilvl="0" w:tplc="6D48CDBC">
      <w:start w:val="1"/>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944F83"/>
    <w:multiLevelType w:val="multilevel"/>
    <w:tmpl w:val="F5EAC940"/>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0526C65"/>
    <w:multiLevelType w:val="hybridMultilevel"/>
    <w:tmpl w:val="F1C25FB2"/>
    <w:lvl w:ilvl="0" w:tplc="6D969516">
      <w:start w:val="31"/>
      <w:numFmt w:val="bullet"/>
      <w:lvlText w:val=""/>
      <w:lvlJc w:val="left"/>
      <w:pPr>
        <w:ind w:left="644" w:hanging="360"/>
      </w:pPr>
      <w:rPr>
        <w:rFonts w:ascii="Symbol" w:eastAsia="Times New Roman" w:hAnsi="Symbol" w:cs="Times New Roman" w:hint="default"/>
        <w: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60A44576"/>
    <w:multiLevelType w:val="hybridMultilevel"/>
    <w:tmpl w:val="C2220B62"/>
    <w:lvl w:ilvl="0" w:tplc="DCC876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C036BDB"/>
    <w:multiLevelType w:val="hybridMultilevel"/>
    <w:tmpl w:val="F5DA35F8"/>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992F0E"/>
    <w:multiLevelType w:val="hybridMultilevel"/>
    <w:tmpl w:val="80DE4BBE"/>
    <w:lvl w:ilvl="0" w:tplc="8ADECC8A">
      <w:start w:val="3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7DAB6C28"/>
    <w:multiLevelType w:val="hybridMultilevel"/>
    <w:tmpl w:val="6742D4AE"/>
    <w:lvl w:ilvl="0" w:tplc="4D4E05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9"/>
  </w:num>
  <w:num w:numId="11">
    <w:abstractNumId w:val="7"/>
  </w:num>
  <w:num w:numId="12">
    <w:abstractNumId w:val="4"/>
  </w:num>
  <w:num w:numId="13">
    <w:abstractNumId w:val="10"/>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2F3A"/>
    <w:rsid w:val="0000363D"/>
    <w:rsid w:val="00003969"/>
    <w:rsid w:val="0000617D"/>
    <w:rsid w:val="00006BF3"/>
    <w:rsid w:val="000070C8"/>
    <w:rsid w:val="000075D6"/>
    <w:rsid w:val="00013698"/>
    <w:rsid w:val="00014310"/>
    <w:rsid w:val="00017755"/>
    <w:rsid w:val="000212EE"/>
    <w:rsid w:val="00021649"/>
    <w:rsid w:val="00023611"/>
    <w:rsid w:val="000255A6"/>
    <w:rsid w:val="00027F28"/>
    <w:rsid w:val="000312B2"/>
    <w:rsid w:val="00032AF3"/>
    <w:rsid w:val="00032DD4"/>
    <w:rsid w:val="00034703"/>
    <w:rsid w:val="00034BCA"/>
    <w:rsid w:val="0004056E"/>
    <w:rsid w:val="00043224"/>
    <w:rsid w:val="00044785"/>
    <w:rsid w:val="000459C7"/>
    <w:rsid w:val="00046C6A"/>
    <w:rsid w:val="00050975"/>
    <w:rsid w:val="00051813"/>
    <w:rsid w:val="00052387"/>
    <w:rsid w:val="00053C45"/>
    <w:rsid w:val="00053DEE"/>
    <w:rsid w:val="00055FF3"/>
    <w:rsid w:val="000623BF"/>
    <w:rsid w:val="00067AA1"/>
    <w:rsid w:val="000715C6"/>
    <w:rsid w:val="00072E92"/>
    <w:rsid w:val="00075A3D"/>
    <w:rsid w:val="0007615E"/>
    <w:rsid w:val="00077912"/>
    <w:rsid w:val="0008053E"/>
    <w:rsid w:val="00080F77"/>
    <w:rsid w:val="000823E6"/>
    <w:rsid w:val="0008274B"/>
    <w:rsid w:val="0008524D"/>
    <w:rsid w:val="00090B85"/>
    <w:rsid w:val="000914BF"/>
    <w:rsid w:val="0009259C"/>
    <w:rsid w:val="000A159C"/>
    <w:rsid w:val="000A16C5"/>
    <w:rsid w:val="000A35B3"/>
    <w:rsid w:val="000A6005"/>
    <w:rsid w:val="000A7302"/>
    <w:rsid w:val="000B0D6E"/>
    <w:rsid w:val="000B19FC"/>
    <w:rsid w:val="000B1A44"/>
    <w:rsid w:val="000B24EA"/>
    <w:rsid w:val="000B3558"/>
    <w:rsid w:val="000B45B1"/>
    <w:rsid w:val="000B67DC"/>
    <w:rsid w:val="000C4BAC"/>
    <w:rsid w:val="000C5438"/>
    <w:rsid w:val="000C5A26"/>
    <w:rsid w:val="000C5B73"/>
    <w:rsid w:val="000C7650"/>
    <w:rsid w:val="000D30BF"/>
    <w:rsid w:val="000D3487"/>
    <w:rsid w:val="000D63DE"/>
    <w:rsid w:val="000D709F"/>
    <w:rsid w:val="000E0412"/>
    <w:rsid w:val="000E0826"/>
    <w:rsid w:val="000E0887"/>
    <w:rsid w:val="000E3022"/>
    <w:rsid w:val="000E325F"/>
    <w:rsid w:val="000E3E09"/>
    <w:rsid w:val="000E4811"/>
    <w:rsid w:val="000E5341"/>
    <w:rsid w:val="000E56B5"/>
    <w:rsid w:val="000F22D0"/>
    <w:rsid w:val="000F26A1"/>
    <w:rsid w:val="000F3D25"/>
    <w:rsid w:val="000F5AE5"/>
    <w:rsid w:val="00100D55"/>
    <w:rsid w:val="00103DC3"/>
    <w:rsid w:val="00110958"/>
    <w:rsid w:val="00111768"/>
    <w:rsid w:val="00111BB7"/>
    <w:rsid w:val="00111C67"/>
    <w:rsid w:val="00114D73"/>
    <w:rsid w:val="00115279"/>
    <w:rsid w:val="001211DF"/>
    <w:rsid w:val="00123C28"/>
    <w:rsid w:val="001272BD"/>
    <w:rsid w:val="0013550D"/>
    <w:rsid w:val="001402EF"/>
    <w:rsid w:val="001425D2"/>
    <w:rsid w:val="00142E15"/>
    <w:rsid w:val="001443E5"/>
    <w:rsid w:val="00144526"/>
    <w:rsid w:val="001446A3"/>
    <w:rsid w:val="001475D9"/>
    <w:rsid w:val="00147C19"/>
    <w:rsid w:val="0015021E"/>
    <w:rsid w:val="00157345"/>
    <w:rsid w:val="001609DF"/>
    <w:rsid w:val="00160EFF"/>
    <w:rsid w:val="001616CB"/>
    <w:rsid w:val="00161DBF"/>
    <w:rsid w:val="00162864"/>
    <w:rsid w:val="00162B51"/>
    <w:rsid w:val="00164588"/>
    <w:rsid w:val="00165E8C"/>
    <w:rsid w:val="001663EB"/>
    <w:rsid w:val="001665D5"/>
    <w:rsid w:val="00166F5A"/>
    <w:rsid w:val="00174593"/>
    <w:rsid w:val="00174E7E"/>
    <w:rsid w:val="00177971"/>
    <w:rsid w:val="00180F06"/>
    <w:rsid w:val="00181887"/>
    <w:rsid w:val="00181E86"/>
    <w:rsid w:val="001844DB"/>
    <w:rsid w:val="001866C1"/>
    <w:rsid w:val="0019016F"/>
    <w:rsid w:val="00190B4A"/>
    <w:rsid w:val="001918E0"/>
    <w:rsid w:val="001921B7"/>
    <w:rsid w:val="00194794"/>
    <w:rsid w:val="00195DA0"/>
    <w:rsid w:val="001A1814"/>
    <w:rsid w:val="001A19CA"/>
    <w:rsid w:val="001A4048"/>
    <w:rsid w:val="001A4DB5"/>
    <w:rsid w:val="001A590A"/>
    <w:rsid w:val="001A7008"/>
    <w:rsid w:val="001B0096"/>
    <w:rsid w:val="001B27CB"/>
    <w:rsid w:val="001B2F0A"/>
    <w:rsid w:val="001B42D4"/>
    <w:rsid w:val="001B7057"/>
    <w:rsid w:val="001C0136"/>
    <w:rsid w:val="001C140E"/>
    <w:rsid w:val="001C423D"/>
    <w:rsid w:val="001C6F8D"/>
    <w:rsid w:val="001D3D21"/>
    <w:rsid w:val="001D51DB"/>
    <w:rsid w:val="001E0E25"/>
    <w:rsid w:val="001E21F3"/>
    <w:rsid w:val="001E30D9"/>
    <w:rsid w:val="001F3642"/>
    <w:rsid w:val="001F41B1"/>
    <w:rsid w:val="001F4515"/>
    <w:rsid w:val="001F4846"/>
    <w:rsid w:val="00200B1D"/>
    <w:rsid w:val="00201CDD"/>
    <w:rsid w:val="00203F49"/>
    <w:rsid w:val="00206B0E"/>
    <w:rsid w:val="00211B82"/>
    <w:rsid w:val="00211DF5"/>
    <w:rsid w:val="00212685"/>
    <w:rsid w:val="00213804"/>
    <w:rsid w:val="00216931"/>
    <w:rsid w:val="002174C5"/>
    <w:rsid w:val="00220C24"/>
    <w:rsid w:val="00226A3C"/>
    <w:rsid w:val="002273C3"/>
    <w:rsid w:val="00232A66"/>
    <w:rsid w:val="002343E6"/>
    <w:rsid w:val="002376DA"/>
    <w:rsid w:val="002405E6"/>
    <w:rsid w:val="00240F6D"/>
    <w:rsid w:val="00250F09"/>
    <w:rsid w:val="002516F0"/>
    <w:rsid w:val="00252E55"/>
    <w:rsid w:val="0025522A"/>
    <w:rsid w:val="0025580B"/>
    <w:rsid w:val="00256236"/>
    <w:rsid w:val="002579E3"/>
    <w:rsid w:val="0026016E"/>
    <w:rsid w:val="00262484"/>
    <w:rsid w:val="00262699"/>
    <w:rsid w:val="00264176"/>
    <w:rsid w:val="00265423"/>
    <w:rsid w:val="00265D55"/>
    <w:rsid w:val="0026617B"/>
    <w:rsid w:val="00266253"/>
    <w:rsid w:val="00272D7C"/>
    <w:rsid w:val="00275D04"/>
    <w:rsid w:val="0027693B"/>
    <w:rsid w:val="002812CE"/>
    <w:rsid w:val="002837A5"/>
    <w:rsid w:val="00284AB3"/>
    <w:rsid w:val="002862A6"/>
    <w:rsid w:val="00286C83"/>
    <w:rsid w:val="00290188"/>
    <w:rsid w:val="0029365E"/>
    <w:rsid w:val="00293FAE"/>
    <w:rsid w:val="002A020C"/>
    <w:rsid w:val="002A0549"/>
    <w:rsid w:val="002A21E7"/>
    <w:rsid w:val="002A28E4"/>
    <w:rsid w:val="002A3435"/>
    <w:rsid w:val="002A433F"/>
    <w:rsid w:val="002B0856"/>
    <w:rsid w:val="002B1AA7"/>
    <w:rsid w:val="002B3C91"/>
    <w:rsid w:val="002C1BAA"/>
    <w:rsid w:val="002C4870"/>
    <w:rsid w:val="002D01A9"/>
    <w:rsid w:val="002D28A0"/>
    <w:rsid w:val="002D5189"/>
    <w:rsid w:val="002D7596"/>
    <w:rsid w:val="002D7A98"/>
    <w:rsid w:val="002E3AF7"/>
    <w:rsid w:val="002E46B9"/>
    <w:rsid w:val="002E6AB4"/>
    <w:rsid w:val="002E75C4"/>
    <w:rsid w:val="002F1128"/>
    <w:rsid w:val="002F29D9"/>
    <w:rsid w:val="002F423B"/>
    <w:rsid w:val="002F466C"/>
    <w:rsid w:val="002F4FCA"/>
    <w:rsid w:val="002F7C98"/>
    <w:rsid w:val="00301DD9"/>
    <w:rsid w:val="00306728"/>
    <w:rsid w:val="00307335"/>
    <w:rsid w:val="00314FDA"/>
    <w:rsid w:val="00321168"/>
    <w:rsid w:val="00331537"/>
    <w:rsid w:val="0033208A"/>
    <w:rsid w:val="00333FB6"/>
    <w:rsid w:val="00335985"/>
    <w:rsid w:val="00335B36"/>
    <w:rsid w:val="00337C64"/>
    <w:rsid w:val="003403D2"/>
    <w:rsid w:val="00341AA6"/>
    <w:rsid w:val="00341D17"/>
    <w:rsid w:val="00347230"/>
    <w:rsid w:val="00347DDA"/>
    <w:rsid w:val="00355581"/>
    <w:rsid w:val="00360DE3"/>
    <w:rsid w:val="00362F3A"/>
    <w:rsid w:val="00367181"/>
    <w:rsid w:val="00367B78"/>
    <w:rsid w:val="003702F9"/>
    <w:rsid w:val="00371CFD"/>
    <w:rsid w:val="00376801"/>
    <w:rsid w:val="00377E3B"/>
    <w:rsid w:val="00384404"/>
    <w:rsid w:val="0038692E"/>
    <w:rsid w:val="00386EA8"/>
    <w:rsid w:val="003974BD"/>
    <w:rsid w:val="003A1948"/>
    <w:rsid w:val="003A3370"/>
    <w:rsid w:val="003A4054"/>
    <w:rsid w:val="003A4D05"/>
    <w:rsid w:val="003A5E8C"/>
    <w:rsid w:val="003A613B"/>
    <w:rsid w:val="003A7882"/>
    <w:rsid w:val="003B1DAD"/>
    <w:rsid w:val="003B6563"/>
    <w:rsid w:val="003C0EBE"/>
    <w:rsid w:val="003C42B0"/>
    <w:rsid w:val="003C74DE"/>
    <w:rsid w:val="003D1174"/>
    <w:rsid w:val="003D1E50"/>
    <w:rsid w:val="003D53F6"/>
    <w:rsid w:val="003D707F"/>
    <w:rsid w:val="003D7F00"/>
    <w:rsid w:val="003E1FD2"/>
    <w:rsid w:val="003E2264"/>
    <w:rsid w:val="003E2D9D"/>
    <w:rsid w:val="003E4550"/>
    <w:rsid w:val="003E4AF1"/>
    <w:rsid w:val="003E50A4"/>
    <w:rsid w:val="003E5C5E"/>
    <w:rsid w:val="003E76F4"/>
    <w:rsid w:val="003F10CE"/>
    <w:rsid w:val="003F41D5"/>
    <w:rsid w:val="003F45D1"/>
    <w:rsid w:val="003F4D6A"/>
    <w:rsid w:val="003F69FB"/>
    <w:rsid w:val="003F7481"/>
    <w:rsid w:val="004006C7"/>
    <w:rsid w:val="004028FF"/>
    <w:rsid w:val="00403811"/>
    <w:rsid w:val="00406093"/>
    <w:rsid w:val="004069ED"/>
    <w:rsid w:val="004079B3"/>
    <w:rsid w:val="00410D11"/>
    <w:rsid w:val="0041267C"/>
    <w:rsid w:val="00413AA2"/>
    <w:rsid w:val="0041597D"/>
    <w:rsid w:val="00422FC0"/>
    <w:rsid w:val="00423A9B"/>
    <w:rsid w:val="004265BC"/>
    <w:rsid w:val="00426D24"/>
    <w:rsid w:val="00427368"/>
    <w:rsid w:val="004300D4"/>
    <w:rsid w:val="00431EC4"/>
    <w:rsid w:val="00432F0E"/>
    <w:rsid w:val="004346DE"/>
    <w:rsid w:val="00434E10"/>
    <w:rsid w:val="00434F67"/>
    <w:rsid w:val="00435C3A"/>
    <w:rsid w:val="00436FF3"/>
    <w:rsid w:val="00437035"/>
    <w:rsid w:val="0044134B"/>
    <w:rsid w:val="00441535"/>
    <w:rsid w:val="00442F7E"/>
    <w:rsid w:val="00445686"/>
    <w:rsid w:val="00446924"/>
    <w:rsid w:val="004476B8"/>
    <w:rsid w:val="00451D1A"/>
    <w:rsid w:val="00455796"/>
    <w:rsid w:val="0045780C"/>
    <w:rsid w:val="00461AA5"/>
    <w:rsid w:val="00465295"/>
    <w:rsid w:val="00465CF6"/>
    <w:rsid w:val="00465DAD"/>
    <w:rsid w:val="00465E26"/>
    <w:rsid w:val="00465FC7"/>
    <w:rsid w:val="004703F4"/>
    <w:rsid w:val="00470BC7"/>
    <w:rsid w:val="00474384"/>
    <w:rsid w:val="00474BC1"/>
    <w:rsid w:val="00484611"/>
    <w:rsid w:val="004849D4"/>
    <w:rsid w:val="00484D7F"/>
    <w:rsid w:val="00487FE0"/>
    <w:rsid w:val="00490CF4"/>
    <w:rsid w:val="00492AB8"/>
    <w:rsid w:val="004A1492"/>
    <w:rsid w:val="004A172B"/>
    <w:rsid w:val="004A370D"/>
    <w:rsid w:val="004A3D37"/>
    <w:rsid w:val="004A4496"/>
    <w:rsid w:val="004A678A"/>
    <w:rsid w:val="004B1F24"/>
    <w:rsid w:val="004B7324"/>
    <w:rsid w:val="004C043D"/>
    <w:rsid w:val="004C1047"/>
    <w:rsid w:val="004C2037"/>
    <w:rsid w:val="004C237C"/>
    <w:rsid w:val="004C7339"/>
    <w:rsid w:val="004C7AE5"/>
    <w:rsid w:val="004D0FE9"/>
    <w:rsid w:val="004D131D"/>
    <w:rsid w:val="004D2E2F"/>
    <w:rsid w:val="004D3C99"/>
    <w:rsid w:val="004D6D57"/>
    <w:rsid w:val="004D7870"/>
    <w:rsid w:val="004E16F8"/>
    <w:rsid w:val="004E5297"/>
    <w:rsid w:val="004E72EA"/>
    <w:rsid w:val="004E7618"/>
    <w:rsid w:val="004F3CFB"/>
    <w:rsid w:val="004F4261"/>
    <w:rsid w:val="004F4C86"/>
    <w:rsid w:val="004F60B6"/>
    <w:rsid w:val="00500534"/>
    <w:rsid w:val="0050201A"/>
    <w:rsid w:val="00505B8F"/>
    <w:rsid w:val="005136AB"/>
    <w:rsid w:val="00514771"/>
    <w:rsid w:val="00517EC8"/>
    <w:rsid w:val="00520273"/>
    <w:rsid w:val="00521CE1"/>
    <w:rsid w:val="00523864"/>
    <w:rsid w:val="00524BD7"/>
    <w:rsid w:val="00525ACA"/>
    <w:rsid w:val="00525F8C"/>
    <w:rsid w:val="005260A5"/>
    <w:rsid w:val="005273CB"/>
    <w:rsid w:val="005279A9"/>
    <w:rsid w:val="00531D93"/>
    <w:rsid w:val="00534BF1"/>
    <w:rsid w:val="0053609D"/>
    <w:rsid w:val="00540462"/>
    <w:rsid w:val="0054053E"/>
    <w:rsid w:val="00542326"/>
    <w:rsid w:val="005442FC"/>
    <w:rsid w:val="005444AA"/>
    <w:rsid w:val="005460CA"/>
    <w:rsid w:val="005507F2"/>
    <w:rsid w:val="00551477"/>
    <w:rsid w:val="00563338"/>
    <w:rsid w:val="00564823"/>
    <w:rsid w:val="00564890"/>
    <w:rsid w:val="005728D0"/>
    <w:rsid w:val="00572D89"/>
    <w:rsid w:val="00575B02"/>
    <w:rsid w:val="0057751A"/>
    <w:rsid w:val="005837BE"/>
    <w:rsid w:val="00583FE5"/>
    <w:rsid w:val="00585BBB"/>
    <w:rsid w:val="00591599"/>
    <w:rsid w:val="00595F9F"/>
    <w:rsid w:val="00596BA8"/>
    <w:rsid w:val="005A0615"/>
    <w:rsid w:val="005A1FA8"/>
    <w:rsid w:val="005A2D61"/>
    <w:rsid w:val="005A400E"/>
    <w:rsid w:val="005A6176"/>
    <w:rsid w:val="005A6E02"/>
    <w:rsid w:val="005B195F"/>
    <w:rsid w:val="005B536D"/>
    <w:rsid w:val="005B555A"/>
    <w:rsid w:val="005C0ADC"/>
    <w:rsid w:val="005C0FEB"/>
    <w:rsid w:val="005C20FD"/>
    <w:rsid w:val="005C5BF5"/>
    <w:rsid w:val="005C62D1"/>
    <w:rsid w:val="005C74EC"/>
    <w:rsid w:val="005D1A09"/>
    <w:rsid w:val="005D1CFF"/>
    <w:rsid w:val="005D228C"/>
    <w:rsid w:val="005D264C"/>
    <w:rsid w:val="005D68E9"/>
    <w:rsid w:val="005D772B"/>
    <w:rsid w:val="005E0ACC"/>
    <w:rsid w:val="005E0FF1"/>
    <w:rsid w:val="005E308E"/>
    <w:rsid w:val="005E311B"/>
    <w:rsid w:val="005E5DB0"/>
    <w:rsid w:val="005E6304"/>
    <w:rsid w:val="005E73C7"/>
    <w:rsid w:val="005F022D"/>
    <w:rsid w:val="005F22D0"/>
    <w:rsid w:val="005F45F3"/>
    <w:rsid w:val="005F7150"/>
    <w:rsid w:val="00600F3E"/>
    <w:rsid w:val="00602EAC"/>
    <w:rsid w:val="00603113"/>
    <w:rsid w:val="00605614"/>
    <w:rsid w:val="0060747F"/>
    <w:rsid w:val="00607B41"/>
    <w:rsid w:val="00610670"/>
    <w:rsid w:val="00614CAA"/>
    <w:rsid w:val="006156D4"/>
    <w:rsid w:val="00615C33"/>
    <w:rsid w:val="00617AF0"/>
    <w:rsid w:val="00620A95"/>
    <w:rsid w:val="00620C04"/>
    <w:rsid w:val="00621C65"/>
    <w:rsid w:val="00621F98"/>
    <w:rsid w:val="00623EDF"/>
    <w:rsid w:val="006240AA"/>
    <w:rsid w:val="00624886"/>
    <w:rsid w:val="0062632C"/>
    <w:rsid w:val="006270F8"/>
    <w:rsid w:val="00630097"/>
    <w:rsid w:val="00630262"/>
    <w:rsid w:val="00631B82"/>
    <w:rsid w:val="00632B85"/>
    <w:rsid w:val="00632C7C"/>
    <w:rsid w:val="00633933"/>
    <w:rsid w:val="0063399A"/>
    <w:rsid w:val="00633C9F"/>
    <w:rsid w:val="006400D4"/>
    <w:rsid w:val="0064296B"/>
    <w:rsid w:val="00643044"/>
    <w:rsid w:val="00643519"/>
    <w:rsid w:val="00644FD6"/>
    <w:rsid w:val="00650D85"/>
    <w:rsid w:val="0065132E"/>
    <w:rsid w:val="00652352"/>
    <w:rsid w:val="00654B89"/>
    <w:rsid w:val="00655486"/>
    <w:rsid w:val="00655C5A"/>
    <w:rsid w:val="006566EF"/>
    <w:rsid w:val="00662378"/>
    <w:rsid w:val="0066465B"/>
    <w:rsid w:val="00665790"/>
    <w:rsid w:val="00667270"/>
    <w:rsid w:val="006677C8"/>
    <w:rsid w:val="00670199"/>
    <w:rsid w:val="00670D5F"/>
    <w:rsid w:val="0067134C"/>
    <w:rsid w:val="00671D32"/>
    <w:rsid w:val="00672F1B"/>
    <w:rsid w:val="0067355C"/>
    <w:rsid w:val="00675DCA"/>
    <w:rsid w:val="00680D27"/>
    <w:rsid w:val="0068359D"/>
    <w:rsid w:val="00683D3B"/>
    <w:rsid w:val="006851CE"/>
    <w:rsid w:val="00690D47"/>
    <w:rsid w:val="006910A2"/>
    <w:rsid w:val="0069241B"/>
    <w:rsid w:val="00696337"/>
    <w:rsid w:val="006A3021"/>
    <w:rsid w:val="006A6286"/>
    <w:rsid w:val="006B37C1"/>
    <w:rsid w:val="006B48D2"/>
    <w:rsid w:val="006B4BB6"/>
    <w:rsid w:val="006B67BB"/>
    <w:rsid w:val="006C089C"/>
    <w:rsid w:val="006C2C71"/>
    <w:rsid w:val="006C39E9"/>
    <w:rsid w:val="006C6247"/>
    <w:rsid w:val="006D1EBF"/>
    <w:rsid w:val="006D46B6"/>
    <w:rsid w:val="006D7F26"/>
    <w:rsid w:val="006E0235"/>
    <w:rsid w:val="006E3106"/>
    <w:rsid w:val="006E753B"/>
    <w:rsid w:val="006F3474"/>
    <w:rsid w:val="006F3586"/>
    <w:rsid w:val="006F7462"/>
    <w:rsid w:val="00700264"/>
    <w:rsid w:val="0070062D"/>
    <w:rsid w:val="0070300F"/>
    <w:rsid w:val="007068B3"/>
    <w:rsid w:val="007120C0"/>
    <w:rsid w:val="0071304A"/>
    <w:rsid w:val="00713BE8"/>
    <w:rsid w:val="00715DC3"/>
    <w:rsid w:val="007164DF"/>
    <w:rsid w:val="00716947"/>
    <w:rsid w:val="00717193"/>
    <w:rsid w:val="0071775C"/>
    <w:rsid w:val="00721720"/>
    <w:rsid w:val="00721DAF"/>
    <w:rsid w:val="00721F84"/>
    <w:rsid w:val="007233BD"/>
    <w:rsid w:val="00723800"/>
    <w:rsid w:val="00724131"/>
    <w:rsid w:val="00726AFE"/>
    <w:rsid w:val="00726B7B"/>
    <w:rsid w:val="00730214"/>
    <w:rsid w:val="007349B3"/>
    <w:rsid w:val="007353A6"/>
    <w:rsid w:val="00736F06"/>
    <w:rsid w:val="007450FF"/>
    <w:rsid w:val="007460C2"/>
    <w:rsid w:val="007513BB"/>
    <w:rsid w:val="00751E51"/>
    <w:rsid w:val="00755563"/>
    <w:rsid w:val="0075560B"/>
    <w:rsid w:val="00756E3A"/>
    <w:rsid w:val="00762F61"/>
    <w:rsid w:val="00763884"/>
    <w:rsid w:val="00765CB3"/>
    <w:rsid w:val="00766F0B"/>
    <w:rsid w:val="0077111C"/>
    <w:rsid w:val="00771BF2"/>
    <w:rsid w:val="0077290A"/>
    <w:rsid w:val="007737CB"/>
    <w:rsid w:val="0077579E"/>
    <w:rsid w:val="00775C1C"/>
    <w:rsid w:val="00784F65"/>
    <w:rsid w:val="00787029"/>
    <w:rsid w:val="007879F0"/>
    <w:rsid w:val="00791243"/>
    <w:rsid w:val="007A2076"/>
    <w:rsid w:val="007A3C74"/>
    <w:rsid w:val="007A4A76"/>
    <w:rsid w:val="007A5EE4"/>
    <w:rsid w:val="007A65FC"/>
    <w:rsid w:val="007B02EF"/>
    <w:rsid w:val="007B270D"/>
    <w:rsid w:val="007B3629"/>
    <w:rsid w:val="007B5261"/>
    <w:rsid w:val="007C0544"/>
    <w:rsid w:val="007C0571"/>
    <w:rsid w:val="007C08AA"/>
    <w:rsid w:val="007C213B"/>
    <w:rsid w:val="007C26FA"/>
    <w:rsid w:val="007C4B77"/>
    <w:rsid w:val="007D0505"/>
    <w:rsid w:val="007D4905"/>
    <w:rsid w:val="007E1285"/>
    <w:rsid w:val="007E270B"/>
    <w:rsid w:val="007E302A"/>
    <w:rsid w:val="007E4262"/>
    <w:rsid w:val="007E512D"/>
    <w:rsid w:val="007F33D5"/>
    <w:rsid w:val="007F34BE"/>
    <w:rsid w:val="007F43FE"/>
    <w:rsid w:val="007F6945"/>
    <w:rsid w:val="0080074A"/>
    <w:rsid w:val="00800B0F"/>
    <w:rsid w:val="00801A2A"/>
    <w:rsid w:val="008051DD"/>
    <w:rsid w:val="00805934"/>
    <w:rsid w:val="008118EE"/>
    <w:rsid w:val="00811BA7"/>
    <w:rsid w:val="00811CAC"/>
    <w:rsid w:val="00816047"/>
    <w:rsid w:val="00822982"/>
    <w:rsid w:val="00830CBC"/>
    <w:rsid w:val="00832186"/>
    <w:rsid w:val="00833756"/>
    <w:rsid w:val="00835D1E"/>
    <w:rsid w:val="00835E7A"/>
    <w:rsid w:val="00836C7D"/>
    <w:rsid w:val="008374EB"/>
    <w:rsid w:val="00842326"/>
    <w:rsid w:val="0084456D"/>
    <w:rsid w:val="008470EB"/>
    <w:rsid w:val="00850B88"/>
    <w:rsid w:val="00853250"/>
    <w:rsid w:val="00856252"/>
    <w:rsid w:val="00856B12"/>
    <w:rsid w:val="00861E36"/>
    <w:rsid w:val="008634AA"/>
    <w:rsid w:val="00865409"/>
    <w:rsid w:val="0086578C"/>
    <w:rsid w:val="008707DA"/>
    <w:rsid w:val="0087207E"/>
    <w:rsid w:val="00872F65"/>
    <w:rsid w:val="00873221"/>
    <w:rsid w:val="00876A67"/>
    <w:rsid w:val="0088214F"/>
    <w:rsid w:val="00882CAC"/>
    <w:rsid w:val="008839F3"/>
    <w:rsid w:val="00884391"/>
    <w:rsid w:val="00886424"/>
    <w:rsid w:val="00886EE0"/>
    <w:rsid w:val="00887F37"/>
    <w:rsid w:val="008910C4"/>
    <w:rsid w:val="008919F6"/>
    <w:rsid w:val="008945B0"/>
    <w:rsid w:val="008950F4"/>
    <w:rsid w:val="00897981"/>
    <w:rsid w:val="008A219A"/>
    <w:rsid w:val="008A37CF"/>
    <w:rsid w:val="008A7187"/>
    <w:rsid w:val="008B0370"/>
    <w:rsid w:val="008B0F6F"/>
    <w:rsid w:val="008B1879"/>
    <w:rsid w:val="008B205A"/>
    <w:rsid w:val="008B3014"/>
    <w:rsid w:val="008C006C"/>
    <w:rsid w:val="008C1491"/>
    <w:rsid w:val="008C35AE"/>
    <w:rsid w:val="008C5E49"/>
    <w:rsid w:val="008C6AFF"/>
    <w:rsid w:val="008D054A"/>
    <w:rsid w:val="008D2B7B"/>
    <w:rsid w:val="008D3916"/>
    <w:rsid w:val="008D6194"/>
    <w:rsid w:val="008E4624"/>
    <w:rsid w:val="008E773A"/>
    <w:rsid w:val="008E7F05"/>
    <w:rsid w:val="008F027E"/>
    <w:rsid w:val="008F7C63"/>
    <w:rsid w:val="00901D1F"/>
    <w:rsid w:val="00901F85"/>
    <w:rsid w:val="0090204A"/>
    <w:rsid w:val="00902FC4"/>
    <w:rsid w:val="009039D6"/>
    <w:rsid w:val="009063DF"/>
    <w:rsid w:val="00913380"/>
    <w:rsid w:val="00914C0F"/>
    <w:rsid w:val="009152FD"/>
    <w:rsid w:val="0091531D"/>
    <w:rsid w:val="00915493"/>
    <w:rsid w:val="00916A92"/>
    <w:rsid w:val="009175D6"/>
    <w:rsid w:val="009226A5"/>
    <w:rsid w:val="00922CDA"/>
    <w:rsid w:val="00923BEB"/>
    <w:rsid w:val="009266EE"/>
    <w:rsid w:val="00926ECA"/>
    <w:rsid w:val="00930569"/>
    <w:rsid w:val="00930BBB"/>
    <w:rsid w:val="00931AB3"/>
    <w:rsid w:val="00942F69"/>
    <w:rsid w:val="00945705"/>
    <w:rsid w:val="009474C8"/>
    <w:rsid w:val="009476C4"/>
    <w:rsid w:val="00947B3B"/>
    <w:rsid w:val="00947DA7"/>
    <w:rsid w:val="009505EC"/>
    <w:rsid w:val="00951106"/>
    <w:rsid w:val="009516DE"/>
    <w:rsid w:val="00952AB8"/>
    <w:rsid w:val="00954FF1"/>
    <w:rsid w:val="009555F6"/>
    <w:rsid w:val="00961573"/>
    <w:rsid w:val="00962B0A"/>
    <w:rsid w:val="009641AE"/>
    <w:rsid w:val="00964273"/>
    <w:rsid w:val="0096457F"/>
    <w:rsid w:val="00970EAF"/>
    <w:rsid w:val="009800AD"/>
    <w:rsid w:val="00982EA8"/>
    <w:rsid w:val="009830A1"/>
    <w:rsid w:val="0098389A"/>
    <w:rsid w:val="009857DD"/>
    <w:rsid w:val="009864D4"/>
    <w:rsid w:val="00990205"/>
    <w:rsid w:val="00990998"/>
    <w:rsid w:val="00991A90"/>
    <w:rsid w:val="00994C15"/>
    <w:rsid w:val="00994D3B"/>
    <w:rsid w:val="0099552A"/>
    <w:rsid w:val="00996676"/>
    <w:rsid w:val="00997222"/>
    <w:rsid w:val="009A207A"/>
    <w:rsid w:val="009A22FF"/>
    <w:rsid w:val="009A2F57"/>
    <w:rsid w:val="009A603A"/>
    <w:rsid w:val="009B0EEF"/>
    <w:rsid w:val="009B1586"/>
    <w:rsid w:val="009B1C4D"/>
    <w:rsid w:val="009B2668"/>
    <w:rsid w:val="009B5C1D"/>
    <w:rsid w:val="009B77D2"/>
    <w:rsid w:val="009C14C9"/>
    <w:rsid w:val="009C214D"/>
    <w:rsid w:val="009C2970"/>
    <w:rsid w:val="009C5002"/>
    <w:rsid w:val="009C6672"/>
    <w:rsid w:val="009C6D90"/>
    <w:rsid w:val="009C723A"/>
    <w:rsid w:val="009D1B5F"/>
    <w:rsid w:val="009D3BFF"/>
    <w:rsid w:val="009D4382"/>
    <w:rsid w:val="009D4458"/>
    <w:rsid w:val="009D5C56"/>
    <w:rsid w:val="009D6136"/>
    <w:rsid w:val="009E12F2"/>
    <w:rsid w:val="009E2B83"/>
    <w:rsid w:val="009E6254"/>
    <w:rsid w:val="009F2466"/>
    <w:rsid w:val="009F28B1"/>
    <w:rsid w:val="009F4EF1"/>
    <w:rsid w:val="009F5BB3"/>
    <w:rsid w:val="009F6782"/>
    <w:rsid w:val="009F69B3"/>
    <w:rsid w:val="009F7380"/>
    <w:rsid w:val="00A01C82"/>
    <w:rsid w:val="00A03788"/>
    <w:rsid w:val="00A0754F"/>
    <w:rsid w:val="00A07A6E"/>
    <w:rsid w:val="00A1264F"/>
    <w:rsid w:val="00A16A01"/>
    <w:rsid w:val="00A17476"/>
    <w:rsid w:val="00A21156"/>
    <w:rsid w:val="00A21165"/>
    <w:rsid w:val="00A22CEA"/>
    <w:rsid w:val="00A23D25"/>
    <w:rsid w:val="00A27530"/>
    <w:rsid w:val="00A315F0"/>
    <w:rsid w:val="00A3205B"/>
    <w:rsid w:val="00A3264B"/>
    <w:rsid w:val="00A37090"/>
    <w:rsid w:val="00A41089"/>
    <w:rsid w:val="00A42E21"/>
    <w:rsid w:val="00A50CC2"/>
    <w:rsid w:val="00A549B1"/>
    <w:rsid w:val="00A5742E"/>
    <w:rsid w:val="00A61B73"/>
    <w:rsid w:val="00A65862"/>
    <w:rsid w:val="00A674BC"/>
    <w:rsid w:val="00A703E2"/>
    <w:rsid w:val="00A74B24"/>
    <w:rsid w:val="00A74DA5"/>
    <w:rsid w:val="00A75400"/>
    <w:rsid w:val="00A77D82"/>
    <w:rsid w:val="00A803C6"/>
    <w:rsid w:val="00A80EDC"/>
    <w:rsid w:val="00A81443"/>
    <w:rsid w:val="00A84FAE"/>
    <w:rsid w:val="00A86866"/>
    <w:rsid w:val="00A91239"/>
    <w:rsid w:val="00A96711"/>
    <w:rsid w:val="00A96890"/>
    <w:rsid w:val="00AA02B5"/>
    <w:rsid w:val="00AA3C7A"/>
    <w:rsid w:val="00AA5008"/>
    <w:rsid w:val="00AB6BD6"/>
    <w:rsid w:val="00AB70EF"/>
    <w:rsid w:val="00AC3864"/>
    <w:rsid w:val="00AC4726"/>
    <w:rsid w:val="00AC74DB"/>
    <w:rsid w:val="00AC76B6"/>
    <w:rsid w:val="00AD1408"/>
    <w:rsid w:val="00AD2BF0"/>
    <w:rsid w:val="00AD3BA2"/>
    <w:rsid w:val="00AD6A43"/>
    <w:rsid w:val="00AD7681"/>
    <w:rsid w:val="00AE46A7"/>
    <w:rsid w:val="00AE5072"/>
    <w:rsid w:val="00AE6BD1"/>
    <w:rsid w:val="00AE7567"/>
    <w:rsid w:val="00AF086C"/>
    <w:rsid w:val="00AF18E1"/>
    <w:rsid w:val="00AF7502"/>
    <w:rsid w:val="00B007BA"/>
    <w:rsid w:val="00B02BFF"/>
    <w:rsid w:val="00B04DF3"/>
    <w:rsid w:val="00B053FA"/>
    <w:rsid w:val="00B054CA"/>
    <w:rsid w:val="00B0683B"/>
    <w:rsid w:val="00B06D7A"/>
    <w:rsid w:val="00B075A2"/>
    <w:rsid w:val="00B12641"/>
    <w:rsid w:val="00B15074"/>
    <w:rsid w:val="00B157D5"/>
    <w:rsid w:val="00B1762E"/>
    <w:rsid w:val="00B21B9F"/>
    <w:rsid w:val="00B23D7C"/>
    <w:rsid w:val="00B252DE"/>
    <w:rsid w:val="00B25E48"/>
    <w:rsid w:val="00B26104"/>
    <w:rsid w:val="00B30285"/>
    <w:rsid w:val="00B35076"/>
    <w:rsid w:val="00B351D5"/>
    <w:rsid w:val="00B35971"/>
    <w:rsid w:val="00B412E1"/>
    <w:rsid w:val="00B43281"/>
    <w:rsid w:val="00B43306"/>
    <w:rsid w:val="00B46928"/>
    <w:rsid w:val="00B5176F"/>
    <w:rsid w:val="00B56B29"/>
    <w:rsid w:val="00B651A8"/>
    <w:rsid w:val="00B655EA"/>
    <w:rsid w:val="00B72450"/>
    <w:rsid w:val="00B74F26"/>
    <w:rsid w:val="00B76CA4"/>
    <w:rsid w:val="00B7711F"/>
    <w:rsid w:val="00B81A4F"/>
    <w:rsid w:val="00B8215C"/>
    <w:rsid w:val="00B83D80"/>
    <w:rsid w:val="00B84096"/>
    <w:rsid w:val="00B8720F"/>
    <w:rsid w:val="00BA0A13"/>
    <w:rsid w:val="00BA1E49"/>
    <w:rsid w:val="00BA441E"/>
    <w:rsid w:val="00BA5E87"/>
    <w:rsid w:val="00BA6B5D"/>
    <w:rsid w:val="00BB08ED"/>
    <w:rsid w:val="00BC0349"/>
    <w:rsid w:val="00BC0CA2"/>
    <w:rsid w:val="00BC3F0C"/>
    <w:rsid w:val="00BC5765"/>
    <w:rsid w:val="00BC5F9C"/>
    <w:rsid w:val="00BC6824"/>
    <w:rsid w:val="00BC74A2"/>
    <w:rsid w:val="00BC7AC0"/>
    <w:rsid w:val="00BD07D9"/>
    <w:rsid w:val="00BD3BA7"/>
    <w:rsid w:val="00BD4068"/>
    <w:rsid w:val="00BD5972"/>
    <w:rsid w:val="00BD66DA"/>
    <w:rsid w:val="00BD67A4"/>
    <w:rsid w:val="00BD6A3A"/>
    <w:rsid w:val="00BD722A"/>
    <w:rsid w:val="00BE0EA0"/>
    <w:rsid w:val="00BE1140"/>
    <w:rsid w:val="00BE2F6B"/>
    <w:rsid w:val="00BE330F"/>
    <w:rsid w:val="00BF1AA1"/>
    <w:rsid w:val="00BF3E1C"/>
    <w:rsid w:val="00BF5F3E"/>
    <w:rsid w:val="00C06F1B"/>
    <w:rsid w:val="00C14141"/>
    <w:rsid w:val="00C14A94"/>
    <w:rsid w:val="00C1742D"/>
    <w:rsid w:val="00C17877"/>
    <w:rsid w:val="00C22B4E"/>
    <w:rsid w:val="00C2465D"/>
    <w:rsid w:val="00C27C12"/>
    <w:rsid w:val="00C32944"/>
    <w:rsid w:val="00C33F99"/>
    <w:rsid w:val="00C349A0"/>
    <w:rsid w:val="00C36DBB"/>
    <w:rsid w:val="00C37BFC"/>
    <w:rsid w:val="00C41396"/>
    <w:rsid w:val="00C42E59"/>
    <w:rsid w:val="00C511BD"/>
    <w:rsid w:val="00C52E58"/>
    <w:rsid w:val="00C53208"/>
    <w:rsid w:val="00C55E69"/>
    <w:rsid w:val="00C57646"/>
    <w:rsid w:val="00C64135"/>
    <w:rsid w:val="00C657D6"/>
    <w:rsid w:val="00C65B9B"/>
    <w:rsid w:val="00C65F90"/>
    <w:rsid w:val="00C662B0"/>
    <w:rsid w:val="00C67FAE"/>
    <w:rsid w:val="00C70ABD"/>
    <w:rsid w:val="00C7120E"/>
    <w:rsid w:val="00C71221"/>
    <w:rsid w:val="00C764B5"/>
    <w:rsid w:val="00C810FF"/>
    <w:rsid w:val="00C8162A"/>
    <w:rsid w:val="00C81E5C"/>
    <w:rsid w:val="00C8329A"/>
    <w:rsid w:val="00C83AA3"/>
    <w:rsid w:val="00C83DBC"/>
    <w:rsid w:val="00C864B0"/>
    <w:rsid w:val="00C914C6"/>
    <w:rsid w:val="00C93E88"/>
    <w:rsid w:val="00CA30DC"/>
    <w:rsid w:val="00CA31F8"/>
    <w:rsid w:val="00CA35BB"/>
    <w:rsid w:val="00CB0B19"/>
    <w:rsid w:val="00CB477C"/>
    <w:rsid w:val="00CB5A17"/>
    <w:rsid w:val="00CB7EEB"/>
    <w:rsid w:val="00CC049D"/>
    <w:rsid w:val="00CC4D0B"/>
    <w:rsid w:val="00CC541D"/>
    <w:rsid w:val="00CD1CA1"/>
    <w:rsid w:val="00CD1EFA"/>
    <w:rsid w:val="00CD3CDE"/>
    <w:rsid w:val="00CD4730"/>
    <w:rsid w:val="00CD71C8"/>
    <w:rsid w:val="00CE0F8D"/>
    <w:rsid w:val="00CE3110"/>
    <w:rsid w:val="00CE56AC"/>
    <w:rsid w:val="00CE5862"/>
    <w:rsid w:val="00CE715A"/>
    <w:rsid w:val="00CF0048"/>
    <w:rsid w:val="00CF0951"/>
    <w:rsid w:val="00CF4EC3"/>
    <w:rsid w:val="00CF5138"/>
    <w:rsid w:val="00CF5EB5"/>
    <w:rsid w:val="00CF5EF5"/>
    <w:rsid w:val="00CF6F0C"/>
    <w:rsid w:val="00CF75A2"/>
    <w:rsid w:val="00D05C60"/>
    <w:rsid w:val="00D066AE"/>
    <w:rsid w:val="00D126ED"/>
    <w:rsid w:val="00D12A39"/>
    <w:rsid w:val="00D12F5F"/>
    <w:rsid w:val="00D1378B"/>
    <w:rsid w:val="00D15AA3"/>
    <w:rsid w:val="00D1778C"/>
    <w:rsid w:val="00D2574C"/>
    <w:rsid w:val="00D27E76"/>
    <w:rsid w:val="00D31EBE"/>
    <w:rsid w:val="00D33556"/>
    <w:rsid w:val="00D3441E"/>
    <w:rsid w:val="00D3495E"/>
    <w:rsid w:val="00D361E9"/>
    <w:rsid w:val="00D3778C"/>
    <w:rsid w:val="00D40092"/>
    <w:rsid w:val="00D401C0"/>
    <w:rsid w:val="00D419C2"/>
    <w:rsid w:val="00D45040"/>
    <w:rsid w:val="00D45550"/>
    <w:rsid w:val="00D4604C"/>
    <w:rsid w:val="00D54B0D"/>
    <w:rsid w:val="00D55F8D"/>
    <w:rsid w:val="00D561A6"/>
    <w:rsid w:val="00D60893"/>
    <w:rsid w:val="00D6279C"/>
    <w:rsid w:val="00D63E65"/>
    <w:rsid w:val="00D718C0"/>
    <w:rsid w:val="00D71B4C"/>
    <w:rsid w:val="00D75B66"/>
    <w:rsid w:val="00D76F00"/>
    <w:rsid w:val="00D81252"/>
    <w:rsid w:val="00D834ED"/>
    <w:rsid w:val="00D83691"/>
    <w:rsid w:val="00D84514"/>
    <w:rsid w:val="00D86E14"/>
    <w:rsid w:val="00D908C8"/>
    <w:rsid w:val="00D94253"/>
    <w:rsid w:val="00D95AA3"/>
    <w:rsid w:val="00D970CB"/>
    <w:rsid w:val="00DA2653"/>
    <w:rsid w:val="00DB1007"/>
    <w:rsid w:val="00DB176D"/>
    <w:rsid w:val="00DB4036"/>
    <w:rsid w:val="00DB44A7"/>
    <w:rsid w:val="00DB5187"/>
    <w:rsid w:val="00DB620A"/>
    <w:rsid w:val="00DB6A29"/>
    <w:rsid w:val="00DB7AE5"/>
    <w:rsid w:val="00DC0E2E"/>
    <w:rsid w:val="00DC10A6"/>
    <w:rsid w:val="00DC1DF8"/>
    <w:rsid w:val="00DC3325"/>
    <w:rsid w:val="00DC47BF"/>
    <w:rsid w:val="00DC4A53"/>
    <w:rsid w:val="00DC519C"/>
    <w:rsid w:val="00DD2C29"/>
    <w:rsid w:val="00DD58B7"/>
    <w:rsid w:val="00DD718F"/>
    <w:rsid w:val="00DD74BB"/>
    <w:rsid w:val="00DD77A9"/>
    <w:rsid w:val="00DE1D5C"/>
    <w:rsid w:val="00DE40DF"/>
    <w:rsid w:val="00DE4879"/>
    <w:rsid w:val="00DE4ADB"/>
    <w:rsid w:val="00DE525A"/>
    <w:rsid w:val="00DE58CB"/>
    <w:rsid w:val="00DE7896"/>
    <w:rsid w:val="00DF1D59"/>
    <w:rsid w:val="00DF358F"/>
    <w:rsid w:val="00DF4BD4"/>
    <w:rsid w:val="00E01D00"/>
    <w:rsid w:val="00E045B3"/>
    <w:rsid w:val="00E05B16"/>
    <w:rsid w:val="00E07C43"/>
    <w:rsid w:val="00E121EF"/>
    <w:rsid w:val="00E12647"/>
    <w:rsid w:val="00E129BE"/>
    <w:rsid w:val="00E12AE7"/>
    <w:rsid w:val="00E13352"/>
    <w:rsid w:val="00E16EB2"/>
    <w:rsid w:val="00E17F9E"/>
    <w:rsid w:val="00E20448"/>
    <w:rsid w:val="00E21366"/>
    <w:rsid w:val="00E21914"/>
    <w:rsid w:val="00E26711"/>
    <w:rsid w:val="00E31FB1"/>
    <w:rsid w:val="00E32426"/>
    <w:rsid w:val="00E32861"/>
    <w:rsid w:val="00E3314D"/>
    <w:rsid w:val="00E34223"/>
    <w:rsid w:val="00E36BF2"/>
    <w:rsid w:val="00E36CDD"/>
    <w:rsid w:val="00E36DD6"/>
    <w:rsid w:val="00E43146"/>
    <w:rsid w:val="00E437BD"/>
    <w:rsid w:val="00E44021"/>
    <w:rsid w:val="00E513E4"/>
    <w:rsid w:val="00E51ED9"/>
    <w:rsid w:val="00E524CE"/>
    <w:rsid w:val="00E54926"/>
    <w:rsid w:val="00E55574"/>
    <w:rsid w:val="00E604F5"/>
    <w:rsid w:val="00E61EE0"/>
    <w:rsid w:val="00E62A4D"/>
    <w:rsid w:val="00E6337F"/>
    <w:rsid w:val="00E70F4A"/>
    <w:rsid w:val="00E71686"/>
    <w:rsid w:val="00E73189"/>
    <w:rsid w:val="00E73A6C"/>
    <w:rsid w:val="00E75847"/>
    <w:rsid w:val="00E77555"/>
    <w:rsid w:val="00E80A82"/>
    <w:rsid w:val="00E82A9F"/>
    <w:rsid w:val="00E867B8"/>
    <w:rsid w:val="00E93865"/>
    <w:rsid w:val="00E95AF8"/>
    <w:rsid w:val="00E974C7"/>
    <w:rsid w:val="00EA5066"/>
    <w:rsid w:val="00EA6348"/>
    <w:rsid w:val="00EA7B4B"/>
    <w:rsid w:val="00EB0735"/>
    <w:rsid w:val="00EB0A70"/>
    <w:rsid w:val="00EB0F0F"/>
    <w:rsid w:val="00EB3210"/>
    <w:rsid w:val="00EB3FBC"/>
    <w:rsid w:val="00EB6AF8"/>
    <w:rsid w:val="00EB7F34"/>
    <w:rsid w:val="00EC1571"/>
    <w:rsid w:val="00EC6E11"/>
    <w:rsid w:val="00ED0884"/>
    <w:rsid w:val="00ED5EEB"/>
    <w:rsid w:val="00ED646E"/>
    <w:rsid w:val="00EE06E8"/>
    <w:rsid w:val="00EE1CBF"/>
    <w:rsid w:val="00EE1DE7"/>
    <w:rsid w:val="00EE58B7"/>
    <w:rsid w:val="00EE6CD7"/>
    <w:rsid w:val="00EE7A9C"/>
    <w:rsid w:val="00EF170E"/>
    <w:rsid w:val="00EF27DB"/>
    <w:rsid w:val="00EF52A1"/>
    <w:rsid w:val="00EF5A1C"/>
    <w:rsid w:val="00EF5BA3"/>
    <w:rsid w:val="00F02A7D"/>
    <w:rsid w:val="00F02D61"/>
    <w:rsid w:val="00F0597D"/>
    <w:rsid w:val="00F06EDA"/>
    <w:rsid w:val="00F073ED"/>
    <w:rsid w:val="00F07632"/>
    <w:rsid w:val="00F07AB6"/>
    <w:rsid w:val="00F07BB8"/>
    <w:rsid w:val="00F13758"/>
    <w:rsid w:val="00F15269"/>
    <w:rsid w:val="00F15438"/>
    <w:rsid w:val="00F15ADA"/>
    <w:rsid w:val="00F173C5"/>
    <w:rsid w:val="00F1751E"/>
    <w:rsid w:val="00F177C6"/>
    <w:rsid w:val="00F21C2B"/>
    <w:rsid w:val="00F224F7"/>
    <w:rsid w:val="00F26420"/>
    <w:rsid w:val="00F26F56"/>
    <w:rsid w:val="00F2749D"/>
    <w:rsid w:val="00F3582E"/>
    <w:rsid w:val="00F35A70"/>
    <w:rsid w:val="00F35D0B"/>
    <w:rsid w:val="00F40DE7"/>
    <w:rsid w:val="00F429D0"/>
    <w:rsid w:val="00F45C0C"/>
    <w:rsid w:val="00F46822"/>
    <w:rsid w:val="00F47BC1"/>
    <w:rsid w:val="00F47E86"/>
    <w:rsid w:val="00F52123"/>
    <w:rsid w:val="00F5342C"/>
    <w:rsid w:val="00F54735"/>
    <w:rsid w:val="00F5619E"/>
    <w:rsid w:val="00F61CB8"/>
    <w:rsid w:val="00F63544"/>
    <w:rsid w:val="00F717E7"/>
    <w:rsid w:val="00F72DC0"/>
    <w:rsid w:val="00F73A88"/>
    <w:rsid w:val="00F73AA6"/>
    <w:rsid w:val="00F747E7"/>
    <w:rsid w:val="00F74CEC"/>
    <w:rsid w:val="00F752ED"/>
    <w:rsid w:val="00F816D4"/>
    <w:rsid w:val="00F81713"/>
    <w:rsid w:val="00F8231E"/>
    <w:rsid w:val="00F831FD"/>
    <w:rsid w:val="00F83E31"/>
    <w:rsid w:val="00F84F4B"/>
    <w:rsid w:val="00F85552"/>
    <w:rsid w:val="00F865A4"/>
    <w:rsid w:val="00F919D3"/>
    <w:rsid w:val="00F96EBA"/>
    <w:rsid w:val="00FA1114"/>
    <w:rsid w:val="00FA28B9"/>
    <w:rsid w:val="00FA31D3"/>
    <w:rsid w:val="00FA3714"/>
    <w:rsid w:val="00FA3FC9"/>
    <w:rsid w:val="00FA5628"/>
    <w:rsid w:val="00FA63D9"/>
    <w:rsid w:val="00FA72E5"/>
    <w:rsid w:val="00FB04E6"/>
    <w:rsid w:val="00FB411B"/>
    <w:rsid w:val="00FB4508"/>
    <w:rsid w:val="00FB4FEC"/>
    <w:rsid w:val="00FC2601"/>
    <w:rsid w:val="00FC3269"/>
    <w:rsid w:val="00FC3607"/>
    <w:rsid w:val="00FC3979"/>
    <w:rsid w:val="00FC64D6"/>
    <w:rsid w:val="00FD1D89"/>
    <w:rsid w:val="00FD2094"/>
    <w:rsid w:val="00FD411C"/>
    <w:rsid w:val="00FD5987"/>
    <w:rsid w:val="00FD7E23"/>
    <w:rsid w:val="00FE3D1F"/>
    <w:rsid w:val="00FE6CC8"/>
    <w:rsid w:val="00FF5104"/>
    <w:rsid w:val="00FF5A0C"/>
    <w:rsid w:val="00FF7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3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62F3A"/>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362F3A"/>
    <w:pPr>
      <w:widowControl w:val="0"/>
      <w:autoSpaceDE w:val="0"/>
      <w:autoSpaceDN w:val="0"/>
      <w:adjustRightInd w:val="0"/>
    </w:pPr>
    <w:rPr>
      <w:rFonts w:ascii="Arial" w:eastAsia="Times New Roman" w:hAnsi="Arial" w:cs="Arial"/>
      <w:b/>
      <w:bCs/>
    </w:rPr>
  </w:style>
  <w:style w:type="table" w:styleId="a3">
    <w:name w:val="Table Grid"/>
    <w:basedOn w:val="a1"/>
    <w:rsid w:val="00341A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semiHidden/>
    <w:unhideWhenUsed/>
    <w:rsid w:val="00994C15"/>
    <w:pPr>
      <w:tabs>
        <w:tab w:val="center" w:pos="4677"/>
        <w:tab w:val="right" w:pos="9355"/>
      </w:tabs>
    </w:pPr>
  </w:style>
  <w:style w:type="character" w:customStyle="1" w:styleId="a5">
    <w:name w:val="Верхний колонтитул Знак"/>
    <w:link w:val="a4"/>
    <w:semiHidden/>
    <w:rsid w:val="00994C15"/>
    <w:rPr>
      <w:rFonts w:ascii="Times New Roman" w:eastAsia="Times New Roman" w:hAnsi="Times New Roman"/>
      <w:sz w:val="24"/>
      <w:szCs w:val="24"/>
    </w:rPr>
  </w:style>
  <w:style w:type="paragraph" w:styleId="a6">
    <w:name w:val="footer"/>
    <w:basedOn w:val="a"/>
    <w:link w:val="a7"/>
    <w:semiHidden/>
    <w:unhideWhenUsed/>
    <w:rsid w:val="00994C15"/>
    <w:pPr>
      <w:tabs>
        <w:tab w:val="center" w:pos="4677"/>
        <w:tab w:val="right" w:pos="9355"/>
      </w:tabs>
    </w:pPr>
  </w:style>
  <w:style w:type="character" w:customStyle="1" w:styleId="a7">
    <w:name w:val="Нижний колонтитул Знак"/>
    <w:link w:val="a6"/>
    <w:semiHidden/>
    <w:rsid w:val="00994C15"/>
    <w:rPr>
      <w:rFonts w:ascii="Times New Roman" w:eastAsia="Times New Roman" w:hAnsi="Times New Roman"/>
      <w:sz w:val="24"/>
      <w:szCs w:val="24"/>
    </w:rPr>
  </w:style>
  <w:style w:type="character" w:customStyle="1" w:styleId="a8">
    <w:name w:val="Название Знак"/>
    <w:link w:val="a9"/>
    <w:locked/>
    <w:rsid w:val="003C0EBE"/>
    <w:rPr>
      <w:rFonts w:ascii="Cambria" w:hAnsi="Cambria"/>
      <w:b/>
      <w:bCs/>
      <w:kern w:val="28"/>
      <w:sz w:val="32"/>
      <w:szCs w:val="32"/>
    </w:rPr>
  </w:style>
  <w:style w:type="paragraph" w:styleId="a9">
    <w:name w:val="Title"/>
    <w:basedOn w:val="a"/>
    <w:next w:val="a"/>
    <w:link w:val="a8"/>
    <w:qFormat/>
    <w:rsid w:val="003C0EBE"/>
    <w:pPr>
      <w:spacing w:before="240" w:after="60"/>
      <w:jc w:val="center"/>
      <w:outlineLvl w:val="0"/>
    </w:pPr>
    <w:rPr>
      <w:rFonts w:ascii="Cambria" w:eastAsia="Calibri" w:hAnsi="Cambria"/>
      <w:b/>
      <w:bCs/>
      <w:kern w:val="28"/>
      <w:sz w:val="32"/>
      <w:szCs w:val="32"/>
    </w:rPr>
  </w:style>
  <w:style w:type="character" w:customStyle="1" w:styleId="1">
    <w:name w:val="Название Знак1"/>
    <w:rsid w:val="003C0EBE"/>
    <w:rPr>
      <w:rFonts w:ascii="Cambria" w:eastAsia="Times New Roman" w:hAnsi="Cambria" w:cs="Times New Roman"/>
      <w:b/>
      <w:bCs/>
      <w:kern w:val="28"/>
      <w:sz w:val="32"/>
      <w:szCs w:val="32"/>
    </w:rPr>
  </w:style>
  <w:style w:type="character" w:styleId="aa">
    <w:name w:val="Hyperlink"/>
    <w:uiPriority w:val="99"/>
    <w:semiHidden/>
    <w:unhideWhenUsed/>
    <w:rsid w:val="003C74DE"/>
    <w:rPr>
      <w:color w:val="0000FF"/>
      <w:u w:val="single"/>
    </w:rPr>
  </w:style>
  <w:style w:type="paragraph" w:styleId="ab">
    <w:name w:val="Normal (Web)"/>
    <w:aliases w:val="Знак"/>
    <w:uiPriority w:val="99"/>
    <w:semiHidden/>
    <w:unhideWhenUsed/>
    <w:rsid w:val="00162B51"/>
    <w:rPr>
      <w:rFonts w:ascii="Times New Roman" w:eastAsia="Times New Roman" w:hAnsi="Times New Roman"/>
    </w:rPr>
  </w:style>
  <w:style w:type="character" w:customStyle="1" w:styleId="ac">
    <w:name w:val="Схема документа Знак"/>
    <w:link w:val="ad"/>
    <w:semiHidden/>
    <w:locked/>
    <w:rsid w:val="00162B51"/>
    <w:rPr>
      <w:rFonts w:ascii="Tahoma" w:hAnsi="Tahoma" w:cs="Tahoma"/>
      <w:sz w:val="16"/>
      <w:szCs w:val="16"/>
    </w:rPr>
  </w:style>
  <w:style w:type="paragraph" w:styleId="ad">
    <w:name w:val="Document Map"/>
    <w:basedOn w:val="a"/>
    <w:link w:val="ac"/>
    <w:semiHidden/>
    <w:unhideWhenUsed/>
    <w:rsid w:val="00162B51"/>
    <w:pPr>
      <w:jc w:val="both"/>
    </w:pPr>
    <w:rPr>
      <w:rFonts w:ascii="Tahoma" w:eastAsia="Calibri" w:hAnsi="Tahoma"/>
      <w:sz w:val="16"/>
      <w:szCs w:val="16"/>
    </w:rPr>
  </w:style>
  <w:style w:type="character" w:customStyle="1" w:styleId="10">
    <w:name w:val="Текст выноски Знак1"/>
    <w:link w:val="ae"/>
    <w:semiHidden/>
    <w:locked/>
    <w:rsid w:val="00162B51"/>
    <w:rPr>
      <w:rFonts w:ascii="Tahoma" w:hAnsi="Tahoma" w:cs="Tahoma"/>
      <w:sz w:val="16"/>
      <w:szCs w:val="16"/>
    </w:rPr>
  </w:style>
  <w:style w:type="paragraph" w:styleId="ae">
    <w:name w:val="Balloon Text"/>
    <w:basedOn w:val="a"/>
    <w:link w:val="10"/>
    <w:semiHidden/>
    <w:unhideWhenUsed/>
    <w:rsid w:val="00162B51"/>
    <w:pPr>
      <w:jc w:val="both"/>
    </w:pPr>
    <w:rPr>
      <w:rFonts w:ascii="Tahoma" w:eastAsia="Calibri" w:hAnsi="Tahoma"/>
      <w:sz w:val="16"/>
      <w:szCs w:val="16"/>
    </w:rPr>
  </w:style>
  <w:style w:type="paragraph" w:customStyle="1" w:styleId="Default">
    <w:name w:val="Default"/>
    <w:rsid w:val="00162B51"/>
    <w:pPr>
      <w:autoSpaceDE w:val="0"/>
      <w:autoSpaceDN w:val="0"/>
      <w:adjustRightInd w:val="0"/>
    </w:pPr>
    <w:rPr>
      <w:rFonts w:ascii="Times New Roman" w:eastAsia="Times New Roman" w:hAnsi="Times New Roman"/>
      <w:color w:val="000000"/>
      <w:sz w:val="24"/>
      <w:szCs w:val="24"/>
    </w:rPr>
  </w:style>
  <w:style w:type="character" w:customStyle="1" w:styleId="11">
    <w:name w:val="Схема документа Знак1"/>
    <w:semiHidden/>
    <w:rsid w:val="00162B51"/>
    <w:rPr>
      <w:rFonts w:ascii="Tahoma" w:eastAsia="Times New Roman" w:hAnsi="Tahoma" w:cs="Tahoma"/>
      <w:sz w:val="16"/>
      <w:szCs w:val="16"/>
    </w:rPr>
  </w:style>
  <w:style w:type="character" w:customStyle="1" w:styleId="af">
    <w:name w:val="Текст выноски Знак"/>
    <w:uiPriority w:val="99"/>
    <w:semiHidden/>
    <w:rsid w:val="00162B51"/>
    <w:rPr>
      <w:rFonts w:ascii="Tahoma" w:eastAsia="Times New Roman" w:hAnsi="Tahoma" w:cs="Tahoma"/>
      <w:sz w:val="16"/>
      <w:szCs w:val="16"/>
    </w:rPr>
  </w:style>
  <w:style w:type="character" w:customStyle="1" w:styleId="ConsPlusNormal0">
    <w:name w:val="ConsPlusNormal Знак"/>
    <w:link w:val="ConsPlusNormal"/>
    <w:locked/>
    <w:rsid w:val="00667270"/>
    <w:rPr>
      <w:rFonts w:ascii="Arial" w:eastAsia="Times New Roman" w:hAnsi="Arial" w:cs="Arial"/>
      <w:lang w:val="ru-RU" w:eastAsia="ru-RU" w:bidi="ar-SA"/>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без отступа Знак,Body Text Indent Знак,Основной текст с отступом Знак Знак Знак Знак Знак,Основной текст с отступом Знак Знак Знак Знак1"/>
    <w:link w:val="af1"/>
    <w:semiHidden/>
    <w:locked/>
    <w:rsid w:val="008945B0"/>
    <w:rPr>
      <w:sz w:val="24"/>
      <w:szCs w:val="24"/>
    </w:rPr>
  </w:style>
  <w:style w:type="paragraph" w:styleId="af1">
    <w:name w:val="Body Text Indent"/>
    <w:aliases w:val="Основной текст 1,Нумерованный список !!,Надин стиль,Основной текст без отступа,Body Text Indent,Основной текст с отступом Знак Знак Знак Знак,Основной текст с отступом Знак Знак Знак,Iniiaiie oaeno 1,Ioia?iaaiiue nienie !!"/>
    <w:basedOn w:val="a"/>
    <w:link w:val="af0"/>
    <w:semiHidden/>
    <w:unhideWhenUsed/>
    <w:rsid w:val="008945B0"/>
    <w:pPr>
      <w:spacing w:after="120"/>
      <w:ind w:left="283"/>
    </w:pPr>
    <w:rPr>
      <w:rFonts w:ascii="Calibri" w:eastAsia="Calibri" w:hAnsi="Calibri"/>
    </w:rPr>
  </w:style>
  <w:style w:type="character" w:customStyle="1" w:styleId="12">
    <w:name w:val="Основной текст с отступом Знак1"/>
    <w:uiPriority w:val="99"/>
    <w:semiHidden/>
    <w:rsid w:val="008945B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349852">
      <w:bodyDiv w:val="1"/>
      <w:marLeft w:val="0"/>
      <w:marRight w:val="0"/>
      <w:marTop w:val="0"/>
      <w:marBottom w:val="0"/>
      <w:divBdr>
        <w:top w:val="none" w:sz="0" w:space="0" w:color="auto"/>
        <w:left w:val="none" w:sz="0" w:space="0" w:color="auto"/>
        <w:bottom w:val="none" w:sz="0" w:space="0" w:color="auto"/>
        <w:right w:val="none" w:sz="0" w:space="0" w:color="auto"/>
      </w:divBdr>
    </w:div>
    <w:div w:id="134227691">
      <w:bodyDiv w:val="1"/>
      <w:marLeft w:val="0"/>
      <w:marRight w:val="0"/>
      <w:marTop w:val="0"/>
      <w:marBottom w:val="0"/>
      <w:divBdr>
        <w:top w:val="none" w:sz="0" w:space="0" w:color="auto"/>
        <w:left w:val="none" w:sz="0" w:space="0" w:color="auto"/>
        <w:bottom w:val="none" w:sz="0" w:space="0" w:color="auto"/>
        <w:right w:val="none" w:sz="0" w:space="0" w:color="auto"/>
      </w:divBdr>
    </w:div>
    <w:div w:id="165436981">
      <w:bodyDiv w:val="1"/>
      <w:marLeft w:val="0"/>
      <w:marRight w:val="0"/>
      <w:marTop w:val="0"/>
      <w:marBottom w:val="0"/>
      <w:divBdr>
        <w:top w:val="none" w:sz="0" w:space="0" w:color="auto"/>
        <w:left w:val="none" w:sz="0" w:space="0" w:color="auto"/>
        <w:bottom w:val="none" w:sz="0" w:space="0" w:color="auto"/>
        <w:right w:val="none" w:sz="0" w:space="0" w:color="auto"/>
      </w:divBdr>
    </w:div>
    <w:div w:id="198206791">
      <w:bodyDiv w:val="1"/>
      <w:marLeft w:val="0"/>
      <w:marRight w:val="0"/>
      <w:marTop w:val="0"/>
      <w:marBottom w:val="0"/>
      <w:divBdr>
        <w:top w:val="none" w:sz="0" w:space="0" w:color="auto"/>
        <w:left w:val="none" w:sz="0" w:space="0" w:color="auto"/>
        <w:bottom w:val="none" w:sz="0" w:space="0" w:color="auto"/>
        <w:right w:val="none" w:sz="0" w:space="0" w:color="auto"/>
      </w:divBdr>
    </w:div>
    <w:div w:id="204489953">
      <w:bodyDiv w:val="1"/>
      <w:marLeft w:val="0"/>
      <w:marRight w:val="0"/>
      <w:marTop w:val="0"/>
      <w:marBottom w:val="0"/>
      <w:divBdr>
        <w:top w:val="none" w:sz="0" w:space="0" w:color="auto"/>
        <w:left w:val="none" w:sz="0" w:space="0" w:color="auto"/>
        <w:bottom w:val="none" w:sz="0" w:space="0" w:color="auto"/>
        <w:right w:val="none" w:sz="0" w:space="0" w:color="auto"/>
      </w:divBdr>
    </w:div>
    <w:div w:id="246159361">
      <w:bodyDiv w:val="1"/>
      <w:marLeft w:val="0"/>
      <w:marRight w:val="0"/>
      <w:marTop w:val="0"/>
      <w:marBottom w:val="0"/>
      <w:divBdr>
        <w:top w:val="none" w:sz="0" w:space="0" w:color="auto"/>
        <w:left w:val="none" w:sz="0" w:space="0" w:color="auto"/>
        <w:bottom w:val="none" w:sz="0" w:space="0" w:color="auto"/>
        <w:right w:val="none" w:sz="0" w:space="0" w:color="auto"/>
      </w:divBdr>
    </w:div>
    <w:div w:id="316570126">
      <w:bodyDiv w:val="1"/>
      <w:marLeft w:val="0"/>
      <w:marRight w:val="0"/>
      <w:marTop w:val="0"/>
      <w:marBottom w:val="0"/>
      <w:divBdr>
        <w:top w:val="none" w:sz="0" w:space="0" w:color="auto"/>
        <w:left w:val="none" w:sz="0" w:space="0" w:color="auto"/>
        <w:bottom w:val="none" w:sz="0" w:space="0" w:color="auto"/>
        <w:right w:val="none" w:sz="0" w:space="0" w:color="auto"/>
      </w:divBdr>
    </w:div>
    <w:div w:id="352071422">
      <w:bodyDiv w:val="1"/>
      <w:marLeft w:val="0"/>
      <w:marRight w:val="0"/>
      <w:marTop w:val="0"/>
      <w:marBottom w:val="0"/>
      <w:divBdr>
        <w:top w:val="none" w:sz="0" w:space="0" w:color="auto"/>
        <w:left w:val="none" w:sz="0" w:space="0" w:color="auto"/>
        <w:bottom w:val="none" w:sz="0" w:space="0" w:color="auto"/>
        <w:right w:val="none" w:sz="0" w:space="0" w:color="auto"/>
      </w:divBdr>
    </w:div>
    <w:div w:id="431514815">
      <w:bodyDiv w:val="1"/>
      <w:marLeft w:val="0"/>
      <w:marRight w:val="0"/>
      <w:marTop w:val="0"/>
      <w:marBottom w:val="0"/>
      <w:divBdr>
        <w:top w:val="none" w:sz="0" w:space="0" w:color="auto"/>
        <w:left w:val="none" w:sz="0" w:space="0" w:color="auto"/>
        <w:bottom w:val="none" w:sz="0" w:space="0" w:color="auto"/>
        <w:right w:val="none" w:sz="0" w:space="0" w:color="auto"/>
      </w:divBdr>
    </w:div>
    <w:div w:id="437456970">
      <w:bodyDiv w:val="1"/>
      <w:marLeft w:val="0"/>
      <w:marRight w:val="0"/>
      <w:marTop w:val="0"/>
      <w:marBottom w:val="0"/>
      <w:divBdr>
        <w:top w:val="none" w:sz="0" w:space="0" w:color="auto"/>
        <w:left w:val="none" w:sz="0" w:space="0" w:color="auto"/>
        <w:bottom w:val="none" w:sz="0" w:space="0" w:color="auto"/>
        <w:right w:val="none" w:sz="0" w:space="0" w:color="auto"/>
      </w:divBdr>
    </w:div>
    <w:div w:id="471017958">
      <w:bodyDiv w:val="1"/>
      <w:marLeft w:val="0"/>
      <w:marRight w:val="0"/>
      <w:marTop w:val="0"/>
      <w:marBottom w:val="0"/>
      <w:divBdr>
        <w:top w:val="none" w:sz="0" w:space="0" w:color="auto"/>
        <w:left w:val="none" w:sz="0" w:space="0" w:color="auto"/>
        <w:bottom w:val="none" w:sz="0" w:space="0" w:color="auto"/>
        <w:right w:val="none" w:sz="0" w:space="0" w:color="auto"/>
      </w:divBdr>
    </w:div>
    <w:div w:id="503715171">
      <w:bodyDiv w:val="1"/>
      <w:marLeft w:val="0"/>
      <w:marRight w:val="0"/>
      <w:marTop w:val="0"/>
      <w:marBottom w:val="0"/>
      <w:divBdr>
        <w:top w:val="none" w:sz="0" w:space="0" w:color="auto"/>
        <w:left w:val="none" w:sz="0" w:space="0" w:color="auto"/>
        <w:bottom w:val="none" w:sz="0" w:space="0" w:color="auto"/>
        <w:right w:val="none" w:sz="0" w:space="0" w:color="auto"/>
      </w:divBdr>
    </w:div>
    <w:div w:id="509880754">
      <w:bodyDiv w:val="1"/>
      <w:marLeft w:val="0"/>
      <w:marRight w:val="0"/>
      <w:marTop w:val="0"/>
      <w:marBottom w:val="0"/>
      <w:divBdr>
        <w:top w:val="none" w:sz="0" w:space="0" w:color="auto"/>
        <w:left w:val="none" w:sz="0" w:space="0" w:color="auto"/>
        <w:bottom w:val="none" w:sz="0" w:space="0" w:color="auto"/>
        <w:right w:val="none" w:sz="0" w:space="0" w:color="auto"/>
      </w:divBdr>
    </w:div>
    <w:div w:id="539712105">
      <w:bodyDiv w:val="1"/>
      <w:marLeft w:val="0"/>
      <w:marRight w:val="0"/>
      <w:marTop w:val="0"/>
      <w:marBottom w:val="0"/>
      <w:divBdr>
        <w:top w:val="none" w:sz="0" w:space="0" w:color="auto"/>
        <w:left w:val="none" w:sz="0" w:space="0" w:color="auto"/>
        <w:bottom w:val="none" w:sz="0" w:space="0" w:color="auto"/>
        <w:right w:val="none" w:sz="0" w:space="0" w:color="auto"/>
      </w:divBdr>
    </w:div>
    <w:div w:id="608049839">
      <w:bodyDiv w:val="1"/>
      <w:marLeft w:val="0"/>
      <w:marRight w:val="0"/>
      <w:marTop w:val="0"/>
      <w:marBottom w:val="0"/>
      <w:divBdr>
        <w:top w:val="none" w:sz="0" w:space="0" w:color="auto"/>
        <w:left w:val="none" w:sz="0" w:space="0" w:color="auto"/>
        <w:bottom w:val="none" w:sz="0" w:space="0" w:color="auto"/>
        <w:right w:val="none" w:sz="0" w:space="0" w:color="auto"/>
      </w:divBdr>
    </w:div>
    <w:div w:id="631325055">
      <w:bodyDiv w:val="1"/>
      <w:marLeft w:val="0"/>
      <w:marRight w:val="0"/>
      <w:marTop w:val="0"/>
      <w:marBottom w:val="0"/>
      <w:divBdr>
        <w:top w:val="none" w:sz="0" w:space="0" w:color="auto"/>
        <w:left w:val="none" w:sz="0" w:space="0" w:color="auto"/>
        <w:bottom w:val="none" w:sz="0" w:space="0" w:color="auto"/>
        <w:right w:val="none" w:sz="0" w:space="0" w:color="auto"/>
      </w:divBdr>
    </w:div>
    <w:div w:id="779682171">
      <w:bodyDiv w:val="1"/>
      <w:marLeft w:val="0"/>
      <w:marRight w:val="0"/>
      <w:marTop w:val="0"/>
      <w:marBottom w:val="0"/>
      <w:divBdr>
        <w:top w:val="none" w:sz="0" w:space="0" w:color="auto"/>
        <w:left w:val="none" w:sz="0" w:space="0" w:color="auto"/>
        <w:bottom w:val="none" w:sz="0" w:space="0" w:color="auto"/>
        <w:right w:val="none" w:sz="0" w:space="0" w:color="auto"/>
      </w:divBdr>
    </w:div>
    <w:div w:id="804200226">
      <w:bodyDiv w:val="1"/>
      <w:marLeft w:val="0"/>
      <w:marRight w:val="0"/>
      <w:marTop w:val="0"/>
      <w:marBottom w:val="0"/>
      <w:divBdr>
        <w:top w:val="none" w:sz="0" w:space="0" w:color="auto"/>
        <w:left w:val="none" w:sz="0" w:space="0" w:color="auto"/>
        <w:bottom w:val="none" w:sz="0" w:space="0" w:color="auto"/>
        <w:right w:val="none" w:sz="0" w:space="0" w:color="auto"/>
      </w:divBdr>
    </w:div>
    <w:div w:id="860246184">
      <w:bodyDiv w:val="1"/>
      <w:marLeft w:val="0"/>
      <w:marRight w:val="0"/>
      <w:marTop w:val="0"/>
      <w:marBottom w:val="0"/>
      <w:divBdr>
        <w:top w:val="none" w:sz="0" w:space="0" w:color="auto"/>
        <w:left w:val="none" w:sz="0" w:space="0" w:color="auto"/>
        <w:bottom w:val="none" w:sz="0" w:space="0" w:color="auto"/>
        <w:right w:val="none" w:sz="0" w:space="0" w:color="auto"/>
      </w:divBdr>
    </w:div>
    <w:div w:id="911082354">
      <w:bodyDiv w:val="1"/>
      <w:marLeft w:val="0"/>
      <w:marRight w:val="0"/>
      <w:marTop w:val="0"/>
      <w:marBottom w:val="0"/>
      <w:divBdr>
        <w:top w:val="none" w:sz="0" w:space="0" w:color="auto"/>
        <w:left w:val="none" w:sz="0" w:space="0" w:color="auto"/>
        <w:bottom w:val="none" w:sz="0" w:space="0" w:color="auto"/>
        <w:right w:val="none" w:sz="0" w:space="0" w:color="auto"/>
      </w:divBdr>
    </w:div>
    <w:div w:id="929392339">
      <w:bodyDiv w:val="1"/>
      <w:marLeft w:val="0"/>
      <w:marRight w:val="0"/>
      <w:marTop w:val="0"/>
      <w:marBottom w:val="0"/>
      <w:divBdr>
        <w:top w:val="none" w:sz="0" w:space="0" w:color="auto"/>
        <w:left w:val="none" w:sz="0" w:space="0" w:color="auto"/>
        <w:bottom w:val="none" w:sz="0" w:space="0" w:color="auto"/>
        <w:right w:val="none" w:sz="0" w:space="0" w:color="auto"/>
      </w:divBdr>
    </w:div>
    <w:div w:id="990984710">
      <w:bodyDiv w:val="1"/>
      <w:marLeft w:val="0"/>
      <w:marRight w:val="0"/>
      <w:marTop w:val="0"/>
      <w:marBottom w:val="0"/>
      <w:divBdr>
        <w:top w:val="none" w:sz="0" w:space="0" w:color="auto"/>
        <w:left w:val="none" w:sz="0" w:space="0" w:color="auto"/>
        <w:bottom w:val="none" w:sz="0" w:space="0" w:color="auto"/>
        <w:right w:val="none" w:sz="0" w:space="0" w:color="auto"/>
      </w:divBdr>
    </w:div>
    <w:div w:id="1000810225">
      <w:bodyDiv w:val="1"/>
      <w:marLeft w:val="0"/>
      <w:marRight w:val="0"/>
      <w:marTop w:val="0"/>
      <w:marBottom w:val="0"/>
      <w:divBdr>
        <w:top w:val="none" w:sz="0" w:space="0" w:color="auto"/>
        <w:left w:val="none" w:sz="0" w:space="0" w:color="auto"/>
        <w:bottom w:val="none" w:sz="0" w:space="0" w:color="auto"/>
        <w:right w:val="none" w:sz="0" w:space="0" w:color="auto"/>
      </w:divBdr>
    </w:div>
    <w:div w:id="1047949421">
      <w:bodyDiv w:val="1"/>
      <w:marLeft w:val="0"/>
      <w:marRight w:val="0"/>
      <w:marTop w:val="0"/>
      <w:marBottom w:val="0"/>
      <w:divBdr>
        <w:top w:val="none" w:sz="0" w:space="0" w:color="auto"/>
        <w:left w:val="none" w:sz="0" w:space="0" w:color="auto"/>
        <w:bottom w:val="none" w:sz="0" w:space="0" w:color="auto"/>
        <w:right w:val="none" w:sz="0" w:space="0" w:color="auto"/>
      </w:divBdr>
    </w:div>
    <w:div w:id="1066029229">
      <w:bodyDiv w:val="1"/>
      <w:marLeft w:val="0"/>
      <w:marRight w:val="0"/>
      <w:marTop w:val="0"/>
      <w:marBottom w:val="0"/>
      <w:divBdr>
        <w:top w:val="none" w:sz="0" w:space="0" w:color="auto"/>
        <w:left w:val="none" w:sz="0" w:space="0" w:color="auto"/>
        <w:bottom w:val="none" w:sz="0" w:space="0" w:color="auto"/>
        <w:right w:val="none" w:sz="0" w:space="0" w:color="auto"/>
      </w:divBdr>
    </w:div>
    <w:div w:id="1086224192">
      <w:bodyDiv w:val="1"/>
      <w:marLeft w:val="0"/>
      <w:marRight w:val="0"/>
      <w:marTop w:val="0"/>
      <w:marBottom w:val="0"/>
      <w:divBdr>
        <w:top w:val="none" w:sz="0" w:space="0" w:color="auto"/>
        <w:left w:val="none" w:sz="0" w:space="0" w:color="auto"/>
        <w:bottom w:val="none" w:sz="0" w:space="0" w:color="auto"/>
        <w:right w:val="none" w:sz="0" w:space="0" w:color="auto"/>
      </w:divBdr>
    </w:div>
    <w:div w:id="1102341251">
      <w:bodyDiv w:val="1"/>
      <w:marLeft w:val="0"/>
      <w:marRight w:val="0"/>
      <w:marTop w:val="0"/>
      <w:marBottom w:val="0"/>
      <w:divBdr>
        <w:top w:val="none" w:sz="0" w:space="0" w:color="auto"/>
        <w:left w:val="none" w:sz="0" w:space="0" w:color="auto"/>
        <w:bottom w:val="none" w:sz="0" w:space="0" w:color="auto"/>
        <w:right w:val="none" w:sz="0" w:space="0" w:color="auto"/>
      </w:divBdr>
    </w:div>
    <w:div w:id="1219511960">
      <w:bodyDiv w:val="1"/>
      <w:marLeft w:val="0"/>
      <w:marRight w:val="0"/>
      <w:marTop w:val="0"/>
      <w:marBottom w:val="0"/>
      <w:divBdr>
        <w:top w:val="none" w:sz="0" w:space="0" w:color="auto"/>
        <w:left w:val="none" w:sz="0" w:space="0" w:color="auto"/>
        <w:bottom w:val="none" w:sz="0" w:space="0" w:color="auto"/>
        <w:right w:val="none" w:sz="0" w:space="0" w:color="auto"/>
      </w:divBdr>
    </w:div>
    <w:div w:id="1231498825">
      <w:bodyDiv w:val="1"/>
      <w:marLeft w:val="0"/>
      <w:marRight w:val="0"/>
      <w:marTop w:val="0"/>
      <w:marBottom w:val="0"/>
      <w:divBdr>
        <w:top w:val="none" w:sz="0" w:space="0" w:color="auto"/>
        <w:left w:val="none" w:sz="0" w:space="0" w:color="auto"/>
        <w:bottom w:val="none" w:sz="0" w:space="0" w:color="auto"/>
        <w:right w:val="none" w:sz="0" w:space="0" w:color="auto"/>
      </w:divBdr>
    </w:div>
    <w:div w:id="1317615172">
      <w:bodyDiv w:val="1"/>
      <w:marLeft w:val="0"/>
      <w:marRight w:val="0"/>
      <w:marTop w:val="0"/>
      <w:marBottom w:val="0"/>
      <w:divBdr>
        <w:top w:val="none" w:sz="0" w:space="0" w:color="auto"/>
        <w:left w:val="none" w:sz="0" w:space="0" w:color="auto"/>
        <w:bottom w:val="none" w:sz="0" w:space="0" w:color="auto"/>
        <w:right w:val="none" w:sz="0" w:space="0" w:color="auto"/>
      </w:divBdr>
    </w:div>
    <w:div w:id="1331445098">
      <w:bodyDiv w:val="1"/>
      <w:marLeft w:val="0"/>
      <w:marRight w:val="0"/>
      <w:marTop w:val="0"/>
      <w:marBottom w:val="0"/>
      <w:divBdr>
        <w:top w:val="none" w:sz="0" w:space="0" w:color="auto"/>
        <w:left w:val="none" w:sz="0" w:space="0" w:color="auto"/>
        <w:bottom w:val="none" w:sz="0" w:space="0" w:color="auto"/>
        <w:right w:val="none" w:sz="0" w:space="0" w:color="auto"/>
      </w:divBdr>
    </w:div>
    <w:div w:id="1346711968">
      <w:bodyDiv w:val="1"/>
      <w:marLeft w:val="0"/>
      <w:marRight w:val="0"/>
      <w:marTop w:val="0"/>
      <w:marBottom w:val="0"/>
      <w:divBdr>
        <w:top w:val="none" w:sz="0" w:space="0" w:color="auto"/>
        <w:left w:val="none" w:sz="0" w:space="0" w:color="auto"/>
        <w:bottom w:val="none" w:sz="0" w:space="0" w:color="auto"/>
        <w:right w:val="none" w:sz="0" w:space="0" w:color="auto"/>
      </w:divBdr>
    </w:div>
    <w:div w:id="1366566409">
      <w:bodyDiv w:val="1"/>
      <w:marLeft w:val="0"/>
      <w:marRight w:val="0"/>
      <w:marTop w:val="0"/>
      <w:marBottom w:val="0"/>
      <w:divBdr>
        <w:top w:val="none" w:sz="0" w:space="0" w:color="auto"/>
        <w:left w:val="none" w:sz="0" w:space="0" w:color="auto"/>
        <w:bottom w:val="none" w:sz="0" w:space="0" w:color="auto"/>
        <w:right w:val="none" w:sz="0" w:space="0" w:color="auto"/>
      </w:divBdr>
    </w:div>
    <w:div w:id="1417363286">
      <w:bodyDiv w:val="1"/>
      <w:marLeft w:val="0"/>
      <w:marRight w:val="0"/>
      <w:marTop w:val="0"/>
      <w:marBottom w:val="0"/>
      <w:divBdr>
        <w:top w:val="none" w:sz="0" w:space="0" w:color="auto"/>
        <w:left w:val="none" w:sz="0" w:space="0" w:color="auto"/>
        <w:bottom w:val="none" w:sz="0" w:space="0" w:color="auto"/>
        <w:right w:val="none" w:sz="0" w:space="0" w:color="auto"/>
      </w:divBdr>
    </w:div>
    <w:div w:id="1461533039">
      <w:bodyDiv w:val="1"/>
      <w:marLeft w:val="0"/>
      <w:marRight w:val="0"/>
      <w:marTop w:val="0"/>
      <w:marBottom w:val="0"/>
      <w:divBdr>
        <w:top w:val="none" w:sz="0" w:space="0" w:color="auto"/>
        <w:left w:val="none" w:sz="0" w:space="0" w:color="auto"/>
        <w:bottom w:val="none" w:sz="0" w:space="0" w:color="auto"/>
        <w:right w:val="none" w:sz="0" w:space="0" w:color="auto"/>
      </w:divBdr>
    </w:div>
    <w:div w:id="1529174042">
      <w:bodyDiv w:val="1"/>
      <w:marLeft w:val="0"/>
      <w:marRight w:val="0"/>
      <w:marTop w:val="0"/>
      <w:marBottom w:val="0"/>
      <w:divBdr>
        <w:top w:val="none" w:sz="0" w:space="0" w:color="auto"/>
        <w:left w:val="none" w:sz="0" w:space="0" w:color="auto"/>
        <w:bottom w:val="none" w:sz="0" w:space="0" w:color="auto"/>
        <w:right w:val="none" w:sz="0" w:space="0" w:color="auto"/>
      </w:divBdr>
    </w:div>
    <w:div w:id="1591620277">
      <w:bodyDiv w:val="1"/>
      <w:marLeft w:val="0"/>
      <w:marRight w:val="0"/>
      <w:marTop w:val="0"/>
      <w:marBottom w:val="0"/>
      <w:divBdr>
        <w:top w:val="none" w:sz="0" w:space="0" w:color="auto"/>
        <w:left w:val="none" w:sz="0" w:space="0" w:color="auto"/>
        <w:bottom w:val="none" w:sz="0" w:space="0" w:color="auto"/>
        <w:right w:val="none" w:sz="0" w:space="0" w:color="auto"/>
      </w:divBdr>
    </w:div>
    <w:div w:id="1596136403">
      <w:bodyDiv w:val="1"/>
      <w:marLeft w:val="0"/>
      <w:marRight w:val="0"/>
      <w:marTop w:val="0"/>
      <w:marBottom w:val="0"/>
      <w:divBdr>
        <w:top w:val="none" w:sz="0" w:space="0" w:color="auto"/>
        <w:left w:val="none" w:sz="0" w:space="0" w:color="auto"/>
        <w:bottom w:val="none" w:sz="0" w:space="0" w:color="auto"/>
        <w:right w:val="none" w:sz="0" w:space="0" w:color="auto"/>
      </w:divBdr>
    </w:div>
    <w:div w:id="1621186060">
      <w:bodyDiv w:val="1"/>
      <w:marLeft w:val="0"/>
      <w:marRight w:val="0"/>
      <w:marTop w:val="0"/>
      <w:marBottom w:val="0"/>
      <w:divBdr>
        <w:top w:val="none" w:sz="0" w:space="0" w:color="auto"/>
        <w:left w:val="none" w:sz="0" w:space="0" w:color="auto"/>
        <w:bottom w:val="none" w:sz="0" w:space="0" w:color="auto"/>
        <w:right w:val="none" w:sz="0" w:space="0" w:color="auto"/>
      </w:divBdr>
    </w:div>
    <w:div w:id="1673802165">
      <w:bodyDiv w:val="1"/>
      <w:marLeft w:val="0"/>
      <w:marRight w:val="0"/>
      <w:marTop w:val="0"/>
      <w:marBottom w:val="0"/>
      <w:divBdr>
        <w:top w:val="none" w:sz="0" w:space="0" w:color="auto"/>
        <w:left w:val="none" w:sz="0" w:space="0" w:color="auto"/>
        <w:bottom w:val="none" w:sz="0" w:space="0" w:color="auto"/>
        <w:right w:val="none" w:sz="0" w:space="0" w:color="auto"/>
      </w:divBdr>
    </w:div>
    <w:div w:id="1679499034">
      <w:bodyDiv w:val="1"/>
      <w:marLeft w:val="0"/>
      <w:marRight w:val="0"/>
      <w:marTop w:val="0"/>
      <w:marBottom w:val="0"/>
      <w:divBdr>
        <w:top w:val="none" w:sz="0" w:space="0" w:color="auto"/>
        <w:left w:val="none" w:sz="0" w:space="0" w:color="auto"/>
        <w:bottom w:val="none" w:sz="0" w:space="0" w:color="auto"/>
        <w:right w:val="none" w:sz="0" w:space="0" w:color="auto"/>
      </w:divBdr>
    </w:div>
    <w:div w:id="1788158617">
      <w:bodyDiv w:val="1"/>
      <w:marLeft w:val="0"/>
      <w:marRight w:val="0"/>
      <w:marTop w:val="0"/>
      <w:marBottom w:val="0"/>
      <w:divBdr>
        <w:top w:val="none" w:sz="0" w:space="0" w:color="auto"/>
        <w:left w:val="none" w:sz="0" w:space="0" w:color="auto"/>
        <w:bottom w:val="none" w:sz="0" w:space="0" w:color="auto"/>
        <w:right w:val="none" w:sz="0" w:space="0" w:color="auto"/>
      </w:divBdr>
    </w:div>
    <w:div w:id="1917323602">
      <w:bodyDiv w:val="1"/>
      <w:marLeft w:val="0"/>
      <w:marRight w:val="0"/>
      <w:marTop w:val="0"/>
      <w:marBottom w:val="0"/>
      <w:divBdr>
        <w:top w:val="none" w:sz="0" w:space="0" w:color="auto"/>
        <w:left w:val="none" w:sz="0" w:space="0" w:color="auto"/>
        <w:bottom w:val="none" w:sz="0" w:space="0" w:color="auto"/>
        <w:right w:val="none" w:sz="0" w:space="0" w:color="auto"/>
      </w:divBdr>
    </w:div>
    <w:div w:id="1961955004">
      <w:bodyDiv w:val="1"/>
      <w:marLeft w:val="0"/>
      <w:marRight w:val="0"/>
      <w:marTop w:val="0"/>
      <w:marBottom w:val="0"/>
      <w:divBdr>
        <w:top w:val="none" w:sz="0" w:space="0" w:color="auto"/>
        <w:left w:val="none" w:sz="0" w:space="0" w:color="auto"/>
        <w:bottom w:val="none" w:sz="0" w:space="0" w:color="auto"/>
        <w:right w:val="none" w:sz="0" w:space="0" w:color="auto"/>
      </w:divBdr>
    </w:div>
    <w:div w:id="2025284409">
      <w:bodyDiv w:val="1"/>
      <w:marLeft w:val="0"/>
      <w:marRight w:val="0"/>
      <w:marTop w:val="0"/>
      <w:marBottom w:val="0"/>
      <w:divBdr>
        <w:top w:val="none" w:sz="0" w:space="0" w:color="auto"/>
        <w:left w:val="none" w:sz="0" w:space="0" w:color="auto"/>
        <w:bottom w:val="none" w:sz="0" w:space="0" w:color="auto"/>
        <w:right w:val="none" w:sz="0" w:space="0" w:color="auto"/>
      </w:divBdr>
    </w:div>
    <w:div w:id="2028172679">
      <w:bodyDiv w:val="1"/>
      <w:marLeft w:val="0"/>
      <w:marRight w:val="0"/>
      <w:marTop w:val="0"/>
      <w:marBottom w:val="0"/>
      <w:divBdr>
        <w:top w:val="none" w:sz="0" w:space="0" w:color="auto"/>
        <w:left w:val="none" w:sz="0" w:space="0" w:color="auto"/>
        <w:bottom w:val="none" w:sz="0" w:space="0" w:color="auto"/>
        <w:right w:val="none" w:sz="0" w:space="0" w:color="auto"/>
      </w:divBdr>
    </w:div>
    <w:div w:id="20662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3FDD96808D2BD82B5570C78EFD4876AFF88B3E3BD9AAB63E17FCB8CFD34FC0FEEE28B3DDC593214BD226635A53A6FADD3B03D24101727F6C96C78WDy3J" TargetMode="External"/><Relationship Id="rId5" Type="http://schemas.openxmlformats.org/officeDocument/2006/relationships/webSettings" Target="webSettings.xml"/><Relationship Id="rId10" Type="http://schemas.openxmlformats.org/officeDocument/2006/relationships/hyperlink" Target="consultantplus://offline/ref=AE1AED7BA5302779080107CB8B12D6F0DF7D196BEA2B5F096003839E780F80AB56F26E3809B791BCZ2e8C" TargetMode="External"/><Relationship Id="rId4" Type="http://schemas.openxmlformats.org/officeDocument/2006/relationships/settings" Target="settings.xml"/><Relationship Id="rId9" Type="http://schemas.openxmlformats.org/officeDocument/2006/relationships/hyperlink" Target="consultantplus://offline/ref=9EA9B9DA78AA1B3FB2F95A3A4743322C89C666BDBEF37FFA42F67B312D694FD2195191CDB5FAl8x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F7C4-6EF1-4E7E-AF64-8C06AA43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6623</Words>
  <Characters>37752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44287</CharactersWithSpaces>
  <SharedDoc>false</SharedDoc>
  <HLinks>
    <vt:vector size="18" baseType="variant">
      <vt:variant>
        <vt:i4>2359399</vt:i4>
      </vt:variant>
      <vt:variant>
        <vt:i4>6</vt:i4>
      </vt:variant>
      <vt:variant>
        <vt:i4>0</vt:i4>
      </vt:variant>
      <vt:variant>
        <vt:i4>5</vt:i4>
      </vt:variant>
      <vt:variant>
        <vt:lpwstr>consultantplus://offline/ref=C6D3FDD96808D2BD82B5570C78EFD4876AFF88B3E3BD9AAB63E17FCB8CFD34FC0FEEE28B3DDC593214BD226635A53A6FADD3B03D24101727F6C96C78WDy3J</vt:lpwstr>
      </vt:variant>
      <vt:variant>
        <vt:lpwstr/>
      </vt:variant>
      <vt:variant>
        <vt:i4>3473457</vt:i4>
      </vt:variant>
      <vt:variant>
        <vt:i4>3</vt:i4>
      </vt:variant>
      <vt:variant>
        <vt:i4>0</vt:i4>
      </vt:variant>
      <vt:variant>
        <vt:i4>5</vt:i4>
      </vt:variant>
      <vt:variant>
        <vt:lpwstr>consultantplus://offline/ref=AE1AED7BA5302779080107CB8B12D6F0DF7D196BEA2B5F096003839E780F80AB56F26E3809B791BCZ2e8C</vt:lpwstr>
      </vt:variant>
      <vt:variant>
        <vt:lpwstr/>
      </vt:variant>
      <vt:variant>
        <vt:i4>3997793</vt:i4>
      </vt:variant>
      <vt:variant>
        <vt:i4>0</vt:i4>
      </vt:variant>
      <vt:variant>
        <vt:i4>0</vt:i4>
      </vt:variant>
      <vt:variant>
        <vt:i4>5</vt:i4>
      </vt:variant>
      <vt:variant>
        <vt:lpwstr>consultantplus://offline/ref=9EA9B9DA78AA1B3FB2F95A3A4743322C89C666BDBEF37FFA42F67B312D694FD2195191CDB5FAl8xDF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YangildinAV</cp:lastModifiedBy>
  <cp:revision>9</cp:revision>
  <cp:lastPrinted>2020-10-12T12:26:00Z</cp:lastPrinted>
  <dcterms:created xsi:type="dcterms:W3CDTF">2020-10-12T11:46:00Z</dcterms:created>
  <dcterms:modified xsi:type="dcterms:W3CDTF">2020-10-13T06:50:00Z</dcterms:modified>
</cp:coreProperties>
</file>