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A17DF6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A17DF6">
        <w:rPr>
          <w:sz w:val="28"/>
          <w:szCs w:val="28"/>
          <w:u w:val="single"/>
        </w:rPr>
        <w:t>06.12.2017</w:t>
      </w:r>
      <w:r w:rsidR="003F42D2">
        <w:rPr>
          <w:sz w:val="28"/>
          <w:szCs w:val="28"/>
        </w:rPr>
        <w:t xml:space="preserve">   </w:t>
      </w:r>
      <w:r w:rsidR="00FC008B" w:rsidRPr="003F42D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075920" w:rsidRPr="009778A1">
        <w:rPr>
          <w:sz w:val="28"/>
          <w:szCs w:val="28"/>
        </w:rPr>
        <w:t>№</w:t>
      </w:r>
      <w:r w:rsidR="00853157">
        <w:rPr>
          <w:sz w:val="28"/>
          <w:szCs w:val="28"/>
        </w:rPr>
        <w:t xml:space="preserve">  </w:t>
      </w:r>
      <w:r w:rsidRPr="00A17DF6">
        <w:rPr>
          <w:sz w:val="28"/>
          <w:szCs w:val="28"/>
          <w:u w:val="single"/>
        </w:rPr>
        <w:t>1251</w:t>
      </w:r>
      <w:r w:rsidR="00853157" w:rsidRPr="00A17DF6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199"/>
        <w:gridCol w:w="5174"/>
      </w:tblGrid>
      <w:tr w:rsidR="00075920" w:rsidTr="002F06F3">
        <w:tc>
          <w:tcPr>
            <w:tcW w:w="5199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230105" w:rsidP="00230105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от 15.11.2016г. №1188 «Капитальный ремонт муниципального жилищного фонда города</w:t>
            </w:r>
            <w:r w:rsidRPr="000B165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B1655"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на 2016-2020 годы»</w:t>
            </w:r>
          </w:p>
        </w:tc>
        <w:tc>
          <w:tcPr>
            <w:tcW w:w="5174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235340" w:rsidRDefault="00230105" w:rsidP="0023010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230105">
        <w:rPr>
          <w:sz w:val="28"/>
          <w:szCs w:val="28"/>
        </w:rPr>
        <w:t xml:space="preserve">«Капитальный ремонт муниципального жилищного фонда города </w:t>
      </w:r>
      <w:proofErr w:type="spellStart"/>
      <w:r w:rsidRPr="00230105">
        <w:rPr>
          <w:sz w:val="28"/>
          <w:szCs w:val="28"/>
        </w:rPr>
        <w:t>Киржач</w:t>
      </w:r>
      <w:proofErr w:type="spellEnd"/>
      <w:r w:rsidRPr="00230105">
        <w:rPr>
          <w:sz w:val="28"/>
          <w:szCs w:val="28"/>
        </w:rPr>
        <w:t xml:space="preserve"> на 2016-2020 годы» </w:t>
      </w:r>
    </w:p>
    <w:p w:rsidR="002F06F3" w:rsidRPr="00230105" w:rsidRDefault="002F06F3" w:rsidP="00230105">
      <w:pPr>
        <w:ind w:left="142" w:hanging="142"/>
        <w:jc w:val="both"/>
        <w:rPr>
          <w:sz w:val="28"/>
          <w:szCs w:val="28"/>
        </w:rPr>
      </w:pPr>
    </w:p>
    <w:p w:rsidR="00853157" w:rsidRDefault="00230105" w:rsidP="002F06F3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A84A94" w:rsidRDefault="00A84A94" w:rsidP="002F06F3">
      <w:pPr>
        <w:ind w:right="180"/>
        <w:jc w:val="center"/>
        <w:rPr>
          <w:b/>
          <w:sz w:val="28"/>
          <w:szCs w:val="28"/>
        </w:rPr>
      </w:pPr>
    </w:p>
    <w:p w:rsidR="002F06F3" w:rsidRDefault="00A84A94" w:rsidP="000240B8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Внести следующие изменения в</w:t>
      </w:r>
      <w:r w:rsidR="00695CD9">
        <w:rPr>
          <w:sz w:val="28"/>
          <w:szCs w:val="28"/>
        </w:rPr>
        <w:t xml:space="preserve"> приложение к</w:t>
      </w:r>
      <w:r w:rsidRPr="00F17A83">
        <w:rPr>
          <w:sz w:val="28"/>
          <w:szCs w:val="28"/>
        </w:rPr>
        <w:t xml:space="preserve"> постановлени</w:t>
      </w:r>
      <w:r w:rsidR="00695CD9">
        <w:rPr>
          <w:sz w:val="28"/>
          <w:szCs w:val="28"/>
        </w:rPr>
        <w:t>ю</w:t>
      </w:r>
      <w:r w:rsidRPr="00F17A83">
        <w:rPr>
          <w:sz w:val="28"/>
          <w:szCs w:val="28"/>
        </w:rPr>
        <w:t xml:space="preserve">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 xml:space="preserve">. </w:t>
      </w:r>
      <w:proofErr w:type="spellStart"/>
      <w:r w:rsidRPr="00F17A83">
        <w:rPr>
          <w:sz w:val="28"/>
          <w:szCs w:val="28"/>
        </w:rPr>
        <w:t>Киржач</w:t>
      </w:r>
      <w:proofErr w:type="spellEnd"/>
      <w:r w:rsidRPr="00F17A83">
        <w:rPr>
          <w:sz w:val="28"/>
          <w:szCs w:val="28"/>
        </w:rPr>
        <w:t xml:space="preserve"> </w:t>
      </w:r>
      <w:proofErr w:type="spellStart"/>
      <w:r w:rsidRPr="00F17A83">
        <w:rPr>
          <w:sz w:val="28"/>
          <w:szCs w:val="28"/>
        </w:rPr>
        <w:t>Киржачского</w:t>
      </w:r>
      <w:proofErr w:type="spellEnd"/>
      <w:r w:rsidRPr="00F17A83">
        <w:rPr>
          <w:sz w:val="28"/>
          <w:szCs w:val="28"/>
        </w:rPr>
        <w:t xml:space="preserve"> района от 1</w:t>
      </w:r>
      <w:r>
        <w:rPr>
          <w:sz w:val="28"/>
          <w:szCs w:val="28"/>
        </w:rPr>
        <w:t>5</w:t>
      </w:r>
      <w:r w:rsidRPr="00F17A8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17A8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17A83">
        <w:rPr>
          <w:sz w:val="28"/>
          <w:szCs w:val="28"/>
        </w:rPr>
        <w:t>г. №</w:t>
      </w:r>
      <w:r>
        <w:rPr>
          <w:sz w:val="28"/>
          <w:szCs w:val="28"/>
        </w:rPr>
        <w:t xml:space="preserve"> 1188</w:t>
      </w:r>
      <w:r w:rsidRPr="00F17A83">
        <w:rPr>
          <w:sz w:val="28"/>
          <w:szCs w:val="28"/>
        </w:rPr>
        <w:t xml:space="preserve"> </w:t>
      </w:r>
      <w:r w:rsidRPr="00A84A94">
        <w:rPr>
          <w:sz w:val="28"/>
          <w:szCs w:val="28"/>
        </w:rPr>
        <w:t xml:space="preserve">«Капитальный ремонт муниципального жилищного фонда города </w:t>
      </w:r>
      <w:proofErr w:type="spellStart"/>
      <w:r w:rsidRPr="00A84A94">
        <w:rPr>
          <w:sz w:val="28"/>
          <w:szCs w:val="28"/>
        </w:rPr>
        <w:t>Киржач</w:t>
      </w:r>
      <w:proofErr w:type="spellEnd"/>
      <w:r w:rsidRPr="00A84A94">
        <w:rPr>
          <w:sz w:val="28"/>
          <w:szCs w:val="28"/>
        </w:rPr>
        <w:t xml:space="preserve"> на 2016-2020 годы»</w:t>
      </w:r>
      <w:r>
        <w:rPr>
          <w:sz w:val="28"/>
          <w:szCs w:val="28"/>
        </w:rPr>
        <w:t>:</w:t>
      </w:r>
    </w:p>
    <w:p w:rsidR="004F523F" w:rsidRDefault="0037106E" w:rsidP="000603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7368F6">
        <w:rPr>
          <w:sz w:val="28"/>
          <w:szCs w:val="28"/>
        </w:rPr>
        <w:t>1. Раздел I «</w:t>
      </w:r>
      <w:r w:rsidR="00C62BA6">
        <w:rPr>
          <w:sz w:val="28"/>
          <w:szCs w:val="28"/>
        </w:rPr>
        <w:t xml:space="preserve"> </w:t>
      </w:r>
      <w:r w:rsidR="00A84A94">
        <w:rPr>
          <w:sz w:val="28"/>
          <w:szCs w:val="28"/>
        </w:rPr>
        <w:t>П</w:t>
      </w:r>
      <w:r w:rsidRPr="0037106E">
        <w:rPr>
          <w:sz w:val="28"/>
          <w:szCs w:val="28"/>
        </w:rPr>
        <w:t>аспорт  муниципальной программы</w:t>
      </w:r>
      <w:r>
        <w:rPr>
          <w:sz w:val="28"/>
          <w:szCs w:val="28"/>
        </w:rPr>
        <w:t xml:space="preserve"> </w:t>
      </w:r>
      <w:r w:rsidRPr="0037106E">
        <w:rPr>
          <w:i/>
        </w:rPr>
        <w:t xml:space="preserve"> </w:t>
      </w:r>
      <w:r w:rsidRPr="0037106E">
        <w:rPr>
          <w:sz w:val="28"/>
          <w:szCs w:val="28"/>
        </w:rPr>
        <w:t xml:space="preserve">«Капитальный  ремонт </w:t>
      </w:r>
      <w:r>
        <w:rPr>
          <w:sz w:val="28"/>
          <w:szCs w:val="28"/>
        </w:rPr>
        <w:t>м</w:t>
      </w:r>
      <w:r w:rsidRPr="0037106E">
        <w:rPr>
          <w:sz w:val="28"/>
          <w:szCs w:val="28"/>
        </w:rPr>
        <w:t xml:space="preserve">униципального жилищного фонда города  </w:t>
      </w:r>
      <w:proofErr w:type="spellStart"/>
      <w:r w:rsidRPr="0037106E">
        <w:rPr>
          <w:sz w:val="28"/>
          <w:szCs w:val="28"/>
        </w:rPr>
        <w:t>Киржач</w:t>
      </w:r>
      <w:proofErr w:type="spellEnd"/>
      <w:r w:rsidRPr="0037106E">
        <w:rPr>
          <w:sz w:val="28"/>
          <w:szCs w:val="28"/>
        </w:rPr>
        <w:t xml:space="preserve"> на 2016-2020 годы» </w:t>
      </w:r>
      <w:r w:rsidR="00A84A94">
        <w:rPr>
          <w:sz w:val="28"/>
          <w:szCs w:val="28"/>
        </w:rPr>
        <w:t>изложить в новой редакции</w:t>
      </w:r>
      <w:r w:rsidR="004F523F">
        <w:rPr>
          <w:sz w:val="28"/>
          <w:szCs w:val="28"/>
        </w:rPr>
        <w:t>:</w:t>
      </w:r>
    </w:p>
    <w:p w:rsidR="0037106E" w:rsidRPr="000603AE" w:rsidRDefault="004F523F" w:rsidP="000603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06E" w:rsidRPr="007F3A16">
        <w:rPr>
          <w:sz w:val="28"/>
          <w:szCs w:val="28"/>
        </w:rPr>
        <w:t xml:space="preserve"> </w:t>
      </w:r>
      <w:r w:rsidR="006A316A">
        <w:rPr>
          <w:sz w:val="28"/>
          <w:szCs w:val="28"/>
        </w:rPr>
        <w:t>в строке</w:t>
      </w:r>
      <w:r w:rsidR="000603AE">
        <w:rPr>
          <w:sz w:val="28"/>
          <w:szCs w:val="28"/>
        </w:rPr>
        <w:t xml:space="preserve">    « </w:t>
      </w:r>
      <w:r w:rsidR="000603AE" w:rsidRPr="000603AE">
        <w:rPr>
          <w:sz w:val="28"/>
          <w:szCs w:val="28"/>
        </w:rPr>
        <w:t xml:space="preserve">Объемы бюджетных  ассигнований на реализацию </w:t>
      </w:r>
      <w:r w:rsidR="000603AE">
        <w:rPr>
          <w:sz w:val="28"/>
          <w:szCs w:val="28"/>
        </w:rPr>
        <w:t>муниципальной программы  2 этап» цифры «800»</w:t>
      </w:r>
      <w:r w:rsidR="007368F6">
        <w:rPr>
          <w:sz w:val="28"/>
          <w:szCs w:val="28"/>
        </w:rPr>
        <w:t xml:space="preserve"> изменить</w:t>
      </w:r>
      <w:r w:rsidR="000603AE">
        <w:rPr>
          <w:sz w:val="28"/>
          <w:szCs w:val="28"/>
        </w:rPr>
        <w:t xml:space="preserve"> на цифры «740,9»</w:t>
      </w:r>
      <w:r w:rsidR="003F73C0">
        <w:rPr>
          <w:sz w:val="28"/>
          <w:szCs w:val="28"/>
        </w:rPr>
        <w:t>;</w:t>
      </w:r>
    </w:p>
    <w:p w:rsidR="00DC3AFF" w:rsidRPr="003F73C0" w:rsidRDefault="00235340" w:rsidP="000603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68F6">
        <w:rPr>
          <w:sz w:val="28"/>
          <w:szCs w:val="28"/>
        </w:rPr>
        <w:t>1.</w:t>
      </w:r>
      <w:r>
        <w:rPr>
          <w:sz w:val="28"/>
          <w:szCs w:val="28"/>
        </w:rPr>
        <w:t>2. В таблице 1 «</w:t>
      </w:r>
      <w:r w:rsidR="00853157">
        <w:rPr>
          <w:sz w:val="28"/>
          <w:szCs w:val="28"/>
        </w:rPr>
        <w:t xml:space="preserve"> </w:t>
      </w:r>
      <w:r w:rsidRPr="00235340">
        <w:rPr>
          <w:sz w:val="28"/>
          <w:szCs w:val="28"/>
        </w:rPr>
        <w:t xml:space="preserve">Объемы   финансовых средств </w:t>
      </w:r>
      <w:r>
        <w:rPr>
          <w:sz w:val="28"/>
          <w:szCs w:val="28"/>
        </w:rPr>
        <w:t xml:space="preserve">по источникам </w:t>
      </w:r>
      <w:r w:rsidRPr="00235340">
        <w:rPr>
          <w:sz w:val="28"/>
          <w:szCs w:val="28"/>
        </w:rPr>
        <w:t>финансирования и годам реализации программы</w:t>
      </w:r>
      <w:r>
        <w:rPr>
          <w:b/>
          <w:sz w:val="27"/>
          <w:szCs w:val="27"/>
        </w:rPr>
        <w:t>»</w:t>
      </w:r>
      <w:r w:rsidR="00805ED2">
        <w:rPr>
          <w:b/>
          <w:sz w:val="27"/>
          <w:szCs w:val="27"/>
        </w:rPr>
        <w:t xml:space="preserve"> </w:t>
      </w:r>
      <w:r w:rsidR="00805ED2" w:rsidRPr="003F73C0">
        <w:rPr>
          <w:sz w:val="28"/>
          <w:szCs w:val="28"/>
        </w:rPr>
        <w:t>раздела II</w:t>
      </w:r>
      <w:r w:rsidR="00805ED2" w:rsidRPr="00805ED2">
        <w:rPr>
          <w:sz w:val="27"/>
          <w:szCs w:val="27"/>
        </w:rPr>
        <w:t xml:space="preserve"> </w:t>
      </w:r>
      <w:r w:rsidR="00805ED2" w:rsidRPr="003F73C0">
        <w:rPr>
          <w:sz w:val="28"/>
          <w:szCs w:val="28"/>
        </w:rPr>
        <w:t>«</w:t>
      </w:r>
      <w:r w:rsidR="003F73C0" w:rsidRPr="003F73C0">
        <w:rPr>
          <w:sz w:val="28"/>
          <w:szCs w:val="28"/>
        </w:rPr>
        <w:t>Обоснование разработки программы</w:t>
      </w:r>
      <w:r w:rsidR="003F73C0">
        <w:rPr>
          <w:sz w:val="28"/>
          <w:szCs w:val="28"/>
        </w:rPr>
        <w:t>»</w:t>
      </w:r>
    </w:p>
    <w:p w:rsidR="00235340" w:rsidRDefault="00DC3AFF" w:rsidP="000603AE">
      <w:pPr>
        <w:jc w:val="both"/>
        <w:rPr>
          <w:sz w:val="28"/>
          <w:szCs w:val="28"/>
        </w:rPr>
      </w:pPr>
      <w:r>
        <w:rPr>
          <w:b/>
          <w:sz w:val="27"/>
          <w:szCs w:val="27"/>
        </w:rPr>
        <w:t xml:space="preserve">- </w:t>
      </w:r>
      <w:r w:rsidR="00235340" w:rsidRPr="00235340">
        <w:rPr>
          <w:sz w:val="28"/>
          <w:szCs w:val="28"/>
        </w:rPr>
        <w:t>в графе</w:t>
      </w:r>
      <w:r w:rsidR="00235340">
        <w:rPr>
          <w:b/>
          <w:sz w:val="27"/>
          <w:szCs w:val="27"/>
        </w:rPr>
        <w:t xml:space="preserve">  «</w:t>
      </w:r>
      <w:r w:rsidR="00235340" w:rsidRPr="00235340">
        <w:rPr>
          <w:sz w:val="28"/>
          <w:szCs w:val="28"/>
        </w:rPr>
        <w:t>Объемы финансовых средств на проведение мероприятий, тыс</w:t>
      </w:r>
      <w:proofErr w:type="gramStart"/>
      <w:r w:rsidR="00235340" w:rsidRPr="00235340">
        <w:rPr>
          <w:sz w:val="28"/>
          <w:szCs w:val="28"/>
        </w:rPr>
        <w:t>.р</w:t>
      </w:r>
      <w:proofErr w:type="gramEnd"/>
      <w:r w:rsidR="00235340" w:rsidRPr="00235340">
        <w:rPr>
          <w:sz w:val="28"/>
          <w:szCs w:val="28"/>
        </w:rPr>
        <w:t>уб.</w:t>
      </w:r>
      <w:r w:rsidR="00235340">
        <w:rPr>
          <w:sz w:val="28"/>
          <w:szCs w:val="28"/>
        </w:rPr>
        <w:t xml:space="preserve"> 2017» цифры «800» заменить на цифры «740,9»</w:t>
      </w:r>
      <w:r>
        <w:rPr>
          <w:sz w:val="28"/>
          <w:szCs w:val="28"/>
        </w:rPr>
        <w:t>;</w:t>
      </w:r>
    </w:p>
    <w:p w:rsidR="00DC3AFF" w:rsidRPr="00DC3AFF" w:rsidRDefault="00DC3AFF" w:rsidP="000603AE">
      <w:pPr>
        <w:jc w:val="both"/>
        <w:rPr>
          <w:b/>
          <w:sz w:val="28"/>
          <w:szCs w:val="28"/>
        </w:rPr>
      </w:pPr>
      <w:r w:rsidRPr="00DC3AFF">
        <w:rPr>
          <w:b/>
          <w:sz w:val="28"/>
          <w:szCs w:val="28"/>
        </w:rPr>
        <w:t>-</w:t>
      </w:r>
      <w:r w:rsidR="002F06F3">
        <w:rPr>
          <w:b/>
          <w:sz w:val="28"/>
          <w:szCs w:val="28"/>
        </w:rPr>
        <w:t xml:space="preserve"> </w:t>
      </w:r>
      <w:r w:rsidR="002F06F3" w:rsidRPr="00235340">
        <w:rPr>
          <w:sz w:val="28"/>
          <w:szCs w:val="28"/>
        </w:rPr>
        <w:t>в графе</w:t>
      </w:r>
      <w:r w:rsidR="002F06F3">
        <w:rPr>
          <w:b/>
          <w:sz w:val="27"/>
          <w:szCs w:val="27"/>
        </w:rPr>
        <w:t xml:space="preserve">  «</w:t>
      </w:r>
      <w:r w:rsidR="002F06F3" w:rsidRPr="00235340">
        <w:rPr>
          <w:sz w:val="28"/>
          <w:szCs w:val="28"/>
        </w:rPr>
        <w:t>Объемы финансовых средств на проведение мероприятий, тыс</w:t>
      </w:r>
      <w:proofErr w:type="gramStart"/>
      <w:r w:rsidR="002F06F3" w:rsidRPr="00235340">
        <w:rPr>
          <w:sz w:val="28"/>
          <w:szCs w:val="28"/>
        </w:rPr>
        <w:t>.р</w:t>
      </w:r>
      <w:proofErr w:type="gramEnd"/>
      <w:r w:rsidR="002F06F3" w:rsidRPr="00235340">
        <w:rPr>
          <w:sz w:val="28"/>
          <w:szCs w:val="28"/>
        </w:rPr>
        <w:t>уб.</w:t>
      </w:r>
      <w:r w:rsidR="002F06F3">
        <w:rPr>
          <w:sz w:val="28"/>
          <w:szCs w:val="28"/>
        </w:rPr>
        <w:t xml:space="preserve"> 2016-2020» цифры «3756,6» заменить на цифры «3697,5»</w:t>
      </w:r>
      <w:r w:rsidR="00316E03">
        <w:rPr>
          <w:sz w:val="28"/>
          <w:szCs w:val="28"/>
        </w:rPr>
        <w:t>.</w:t>
      </w:r>
    </w:p>
    <w:p w:rsidR="00DC3AFF" w:rsidRDefault="00123D1C" w:rsidP="000603AE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7368F6">
        <w:rPr>
          <w:sz w:val="28"/>
          <w:szCs w:val="28"/>
        </w:rPr>
        <w:t xml:space="preserve"> 1.</w:t>
      </w:r>
      <w:r>
        <w:rPr>
          <w:sz w:val="28"/>
          <w:szCs w:val="28"/>
        </w:rPr>
        <w:t>3. В таблице 2 «</w:t>
      </w:r>
      <w:r w:rsidRPr="00123D1C">
        <w:rPr>
          <w:sz w:val="28"/>
        </w:rPr>
        <w:t xml:space="preserve">Ресурсное обеспечение реализации муниципальной программы за счет средств  бюджета города  </w:t>
      </w:r>
      <w:proofErr w:type="spellStart"/>
      <w:r w:rsidRPr="00123D1C">
        <w:rPr>
          <w:sz w:val="28"/>
        </w:rPr>
        <w:t>Киржач</w:t>
      </w:r>
      <w:proofErr w:type="spellEnd"/>
      <w:r w:rsidR="00DC3AFF">
        <w:rPr>
          <w:sz w:val="28"/>
        </w:rPr>
        <w:t>»</w:t>
      </w:r>
      <w:r w:rsidR="003F73C0">
        <w:rPr>
          <w:sz w:val="28"/>
        </w:rPr>
        <w:t xml:space="preserve"> раздела VI «Оценка эффективности и прогноз ожидаемых социальных и экономических </w:t>
      </w:r>
      <w:proofErr w:type="spellStart"/>
      <w:r w:rsidR="003F73C0">
        <w:rPr>
          <w:sz w:val="28"/>
        </w:rPr>
        <w:t>резельтатов</w:t>
      </w:r>
      <w:proofErr w:type="spellEnd"/>
      <w:r w:rsidR="003F73C0">
        <w:rPr>
          <w:sz w:val="28"/>
        </w:rPr>
        <w:t xml:space="preserve"> от реализации Программы»</w:t>
      </w:r>
    </w:p>
    <w:p w:rsidR="00235340" w:rsidRDefault="00DC3AFF" w:rsidP="000603AE">
      <w:pPr>
        <w:jc w:val="both"/>
        <w:rPr>
          <w:sz w:val="28"/>
          <w:szCs w:val="28"/>
        </w:rPr>
      </w:pPr>
      <w:r>
        <w:rPr>
          <w:sz w:val="28"/>
        </w:rPr>
        <w:t>-</w:t>
      </w:r>
      <w:r w:rsidR="006A316A">
        <w:rPr>
          <w:sz w:val="28"/>
        </w:rPr>
        <w:t xml:space="preserve"> в графе « </w:t>
      </w:r>
      <w:r w:rsidR="006A316A" w:rsidRPr="006A316A">
        <w:rPr>
          <w:sz w:val="28"/>
          <w:szCs w:val="28"/>
        </w:rPr>
        <w:t>Расходы (тыс. рублей)</w:t>
      </w:r>
      <w:r w:rsidR="006A316A">
        <w:rPr>
          <w:sz w:val="28"/>
          <w:szCs w:val="28"/>
        </w:rPr>
        <w:t xml:space="preserve"> п</w:t>
      </w:r>
      <w:r w:rsidR="006A316A" w:rsidRPr="006A316A">
        <w:rPr>
          <w:sz w:val="28"/>
          <w:szCs w:val="28"/>
        </w:rPr>
        <w:t xml:space="preserve">о годам реализации  </w:t>
      </w:r>
      <w:r w:rsidR="006A316A">
        <w:rPr>
          <w:sz w:val="28"/>
          <w:szCs w:val="28"/>
        </w:rPr>
        <w:t>2017»</w:t>
      </w:r>
      <w:r w:rsidR="006A316A" w:rsidRPr="006A316A">
        <w:rPr>
          <w:sz w:val="28"/>
          <w:szCs w:val="28"/>
        </w:rPr>
        <w:t xml:space="preserve"> </w:t>
      </w:r>
      <w:r w:rsidR="006A316A">
        <w:rPr>
          <w:sz w:val="28"/>
          <w:szCs w:val="28"/>
        </w:rPr>
        <w:t xml:space="preserve">цифры «800» </w:t>
      </w:r>
      <w:proofErr w:type="gramStart"/>
      <w:r w:rsidR="006A316A">
        <w:rPr>
          <w:sz w:val="28"/>
          <w:szCs w:val="28"/>
        </w:rPr>
        <w:t>заменить на цифры</w:t>
      </w:r>
      <w:proofErr w:type="gramEnd"/>
      <w:r w:rsidR="006A316A">
        <w:rPr>
          <w:sz w:val="28"/>
          <w:szCs w:val="28"/>
        </w:rPr>
        <w:t xml:space="preserve"> «740,9»</w:t>
      </w:r>
      <w:r>
        <w:rPr>
          <w:sz w:val="28"/>
          <w:szCs w:val="28"/>
        </w:rPr>
        <w:t>;</w:t>
      </w:r>
    </w:p>
    <w:p w:rsidR="00DC3AFF" w:rsidRPr="00235340" w:rsidRDefault="00DC3AFF" w:rsidP="00060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«Всего по программе» цифры «3756,6»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«3697,5».</w:t>
      </w:r>
    </w:p>
    <w:p w:rsidR="00075920" w:rsidRDefault="00644533" w:rsidP="000603AE">
      <w:pPr>
        <w:ind w:right="180"/>
        <w:jc w:val="both"/>
      </w:pPr>
      <w:r>
        <w:rPr>
          <w:sz w:val="28"/>
          <w:szCs w:val="28"/>
        </w:rPr>
        <w:lastRenderedPageBreak/>
        <w:tab/>
      </w:r>
      <w:r w:rsidR="007368F6">
        <w:rPr>
          <w:sz w:val="28"/>
          <w:szCs w:val="28"/>
        </w:rPr>
        <w:t>2</w:t>
      </w:r>
      <w:r w:rsidR="000603AE">
        <w:rPr>
          <w:sz w:val="28"/>
          <w:szCs w:val="28"/>
        </w:rPr>
        <w:t xml:space="preserve">. 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A84A94" w:rsidRDefault="00075920" w:rsidP="00A84A94">
      <w:pPr>
        <w:ind w:left="284" w:right="-2"/>
        <w:jc w:val="both"/>
        <w:rPr>
          <w:sz w:val="28"/>
          <w:szCs w:val="28"/>
        </w:rPr>
      </w:pPr>
      <w:r>
        <w:tab/>
      </w:r>
      <w:r w:rsidR="007368F6">
        <w:rPr>
          <w:sz w:val="28"/>
          <w:szCs w:val="28"/>
        </w:rPr>
        <w:t>3</w:t>
      </w:r>
      <w:r w:rsidR="005D445F">
        <w:rPr>
          <w:sz w:val="28"/>
          <w:szCs w:val="28"/>
        </w:rPr>
        <w:t>.</w:t>
      </w:r>
      <w:r w:rsidR="000603AE">
        <w:rPr>
          <w:sz w:val="28"/>
          <w:szCs w:val="28"/>
        </w:rPr>
        <w:t xml:space="preserve">   </w:t>
      </w:r>
      <w:r w:rsidR="005D445F">
        <w:rPr>
          <w:sz w:val="28"/>
          <w:szCs w:val="28"/>
        </w:rPr>
        <w:t xml:space="preserve"> </w:t>
      </w:r>
      <w:r w:rsidR="00A84A94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84A94">
        <w:rPr>
          <w:sz w:val="28"/>
          <w:szCs w:val="28"/>
        </w:rPr>
        <w:t>с  даты</w:t>
      </w:r>
      <w:proofErr w:type="gramEnd"/>
      <w:r w:rsidR="00A84A94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A84A94" w:rsidRDefault="00A84A94" w:rsidP="00A84A94">
      <w:pPr>
        <w:ind w:right="-2" w:firstLine="709"/>
        <w:jc w:val="both"/>
        <w:rPr>
          <w:sz w:val="28"/>
          <w:szCs w:val="28"/>
        </w:rPr>
      </w:pPr>
    </w:p>
    <w:p w:rsidR="00075920" w:rsidRDefault="00075920" w:rsidP="000603AE">
      <w:pPr>
        <w:ind w:right="-1"/>
        <w:jc w:val="both"/>
        <w:rPr>
          <w:sz w:val="28"/>
          <w:szCs w:val="28"/>
        </w:rPr>
      </w:pPr>
    </w:p>
    <w:p w:rsidR="00075920" w:rsidRDefault="00075920" w:rsidP="000603AE">
      <w:pPr>
        <w:ind w:right="180"/>
        <w:jc w:val="both"/>
        <w:rPr>
          <w:sz w:val="28"/>
          <w:szCs w:val="28"/>
        </w:rPr>
      </w:pPr>
    </w:p>
    <w:p w:rsidR="00075920" w:rsidRDefault="00075920" w:rsidP="000603AE">
      <w:pPr>
        <w:ind w:right="180"/>
        <w:jc w:val="both"/>
        <w:rPr>
          <w:sz w:val="28"/>
          <w:szCs w:val="28"/>
        </w:rPr>
      </w:pPr>
    </w:p>
    <w:p w:rsidR="004B5CFC" w:rsidRDefault="007063AB" w:rsidP="002F06F3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город</w:t>
      </w:r>
      <w:r w:rsidR="00853157">
        <w:rPr>
          <w:sz w:val="28"/>
          <w:szCs w:val="28"/>
        </w:rPr>
        <w:t xml:space="preserve">а </w:t>
      </w:r>
      <w:proofErr w:type="spellStart"/>
      <w:r w:rsidR="00853157">
        <w:rPr>
          <w:sz w:val="28"/>
          <w:szCs w:val="28"/>
        </w:rPr>
        <w:t>Киржач</w:t>
      </w:r>
      <w:proofErr w:type="spellEnd"/>
      <w:r w:rsidR="00075920">
        <w:rPr>
          <w:sz w:val="28"/>
          <w:szCs w:val="28"/>
        </w:rPr>
        <w:t xml:space="preserve">  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Default="00A84A94" w:rsidP="002F06F3">
      <w:pPr>
        <w:ind w:right="180"/>
        <w:jc w:val="both"/>
        <w:rPr>
          <w:sz w:val="28"/>
          <w:szCs w:val="28"/>
        </w:rPr>
      </w:pPr>
    </w:p>
    <w:p w:rsidR="00A84A94" w:rsidRPr="006932E2" w:rsidRDefault="00A84A94" w:rsidP="00A84A94">
      <w:pPr>
        <w:ind w:right="180"/>
        <w:jc w:val="both"/>
        <w:rPr>
          <w:sz w:val="22"/>
          <w:szCs w:val="22"/>
          <w:u w:val="single"/>
        </w:rPr>
      </w:pPr>
      <w:r w:rsidRPr="006932E2">
        <w:rPr>
          <w:sz w:val="22"/>
          <w:szCs w:val="22"/>
        </w:rPr>
        <w:t>С текстом актуальной редакции муниципальной программы «</w:t>
      </w:r>
      <w:r w:rsidRPr="00A84A94">
        <w:rPr>
          <w:sz w:val="22"/>
          <w:szCs w:val="22"/>
        </w:rPr>
        <w:t xml:space="preserve">Капитальный ремонт муниципального жилищного фонда города </w:t>
      </w:r>
      <w:proofErr w:type="spellStart"/>
      <w:r w:rsidRPr="00A84A94">
        <w:rPr>
          <w:sz w:val="22"/>
          <w:szCs w:val="22"/>
        </w:rPr>
        <w:t>Киржач</w:t>
      </w:r>
      <w:proofErr w:type="spellEnd"/>
      <w:r w:rsidRPr="00A84A94">
        <w:rPr>
          <w:sz w:val="22"/>
          <w:szCs w:val="22"/>
        </w:rPr>
        <w:t xml:space="preserve"> на 2016-2020 годы</w:t>
      </w:r>
      <w:r w:rsidRPr="006932E2">
        <w:rPr>
          <w:sz w:val="22"/>
          <w:szCs w:val="22"/>
        </w:rPr>
        <w:t>» можно ознакомиться на</w:t>
      </w:r>
      <w:r w:rsidR="00E8618B"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 </w:t>
      </w:r>
      <w:r w:rsidRPr="006932E2">
        <w:rPr>
          <w:sz w:val="22"/>
          <w:szCs w:val="22"/>
          <w:u w:val="single"/>
          <w:lang w:val="en-US"/>
        </w:rPr>
        <w:t>www</w:t>
      </w:r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A84A94" w:rsidRDefault="00A84A94" w:rsidP="002F06F3">
      <w:pPr>
        <w:ind w:right="180"/>
        <w:jc w:val="both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</w:t>
      </w:r>
      <w:proofErr w:type="spellStart"/>
      <w:r w:rsidR="00B530D7" w:rsidRPr="00B530D7">
        <w:rPr>
          <w:sz w:val="22"/>
          <w:szCs w:val="22"/>
        </w:rPr>
        <w:t>Киржач</w:t>
      </w:r>
      <w:proofErr w:type="spellEnd"/>
    </w:p>
    <w:p w:rsidR="00B530D7" w:rsidRDefault="00B530D7" w:rsidP="00B530D7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>от</w:t>
      </w:r>
      <w:r w:rsidR="00695CD9" w:rsidRPr="00695CD9">
        <w:rPr>
          <w:sz w:val="22"/>
          <w:szCs w:val="22"/>
          <w:u w:val="single"/>
        </w:rPr>
        <w:t>15.11.2017</w:t>
      </w:r>
      <w:r w:rsidRPr="00B530D7">
        <w:rPr>
          <w:sz w:val="22"/>
          <w:szCs w:val="22"/>
        </w:rPr>
        <w:t xml:space="preserve"> </w:t>
      </w:r>
      <w:r w:rsidR="006A316A" w:rsidRPr="00695CD9">
        <w:rPr>
          <w:sz w:val="22"/>
          <w:szCs w:val="22"/>
        </w:rPr>
        <w:t>г.</w:t>
      </w:r>
      <w:r w:rsidRPr="00695CD9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 №</w:t>
      </w:r>
      <w:r w:rsidR="00695CD9" w:rsidRPr="00695CD9">
        <w:rPr>
          <w:sz w:val="22"/>
          <w:szCs w:val="22"/>
          <w:u w:val="single"/>
        </w:rPr>
        <w:t>1188</w:t>
      </w:r>
    </w:p>
    <w:p w:rsidR="00695CD9" w:rsidRPr="00695CD9" w:rsidRDefault="00695CD9" w:rsidP="00B530D7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(</w:t>
      </w:r>
      <w:r w:rsidRPr="00695CD9">
        <w:rPr>
          <w:sz w:val="22"/>
          <w:szCs w:val="22"/>
        </w:rPr>
        <w:t>с изменениями</w:t>
      </w:r>
      <w:proofErr w:type="gramStart"/>
      <w:r w:rsidRPr="00695CD9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695CD9">
        <w:rPr>
          <w:sz w:val="22"/>
          <w:szCs w:val="22"/>
        </w:rPr>
        <w:t xml:space="preserve">внесенными </w:t>
      </w:r>
    </w:p>
    <w:p w:rsidR="00695CD9" w:rsidRDefault="00695CD9" w:rsidP="00B530D7">
      <w:pPr>
        <w:jc w:val="right"/>
        <w:rPr>
          <w:sz w:val="22"/>
          <w:szCs w:val="22"/>
        </w:rPr>
      </w:pPr>
      <w:r w:rsidRPr="00695CD9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главы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иржач</w:t>
      </w:r>
      <w:proofErr w:type="spellEnd"/>
    </w:p>
    <w:p w:rsidR="00695CD9" w:rsidRPr="00695CD9" w:rsidRDefault="00A17DF6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Pr="00A17DF6">
        <w:rPr>
          <w:sz w:val="22"/>
          <w:szCs w:val="22"/>
          <w:u w:val="single"/>
        </w:rPr>
        <w:t>06.12.2017</w:t>
      </w:r>
      <w:r>
        <w:rPr>
          <w:sz w:val="22"/>
          <w:szCs w:val="22"/>
        </w:rPr>
        <w:t xml:space="preserve"> </w:t>
      </w:r>
      <w:r w:rsidR="00695CD9">
        <w:rPr>
          <w:sz w:val="22"/>
          <w:szCs w:val="22"/>
        </w:rPr>
        <w:t xml:space="preserve"> № </w:t>
      </w:r>
      <w:r w:rsidRPr="00A17DF6">
        <w:rPr>
          <w:sz w:val="22"/>
          <w:szCs w:val="22"/>
          <w:u w:val="single"/>
        </w:rPr>
        <w:t>1251</w:t>
      </w:r>
      <w:r w:rsidR="00695CD9">
        <w:rPr>
          <w:sz w:val="22"/>
          <w:szCs w:val="22"/>
        </w:rPr>
        <w:t>)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</w:t>
      </w:r>
      <w:proofErr w:type="spellStart"/>
      <w:r w:rsidR="00E5545D">
        <w:rPr>
          <w:sz w:val="28"/>
          <w:szCs w:val="22"/>
        </w:rPr>
        <w:t>Киржач</w:t>
      </w:r>
      <w:proofErr w:type="spellEnd"/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2016</w:t>
      </w:r>
      <w:r w:rsidR="0051192B">
        <w:rPr>
          <w:sz w:val="28"/>
          <w:szCs w:val="22"/>
        </w:rPr>
        <w:t>-2020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</w:pPr>
      <w:r w:rsidRPr="00B530D7">
        <w:t>201</w:t>
      </w:r>
      <w:r w:rsidR="002C552E">
        <w:t>6</w:t>
      </w:r>
      <w:r w:rsidRPr="00B530D7">
        <w:t xml:space="preserve"> год</w:t>
      </w: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2016</w:t>
      </w:r>
      <w:r w:rsidR="0051192B" w:rsidRPr="0051192B">
        <w:rPr>
          <w:b w:val="0"/>
        </w:rPr>
        <w:t>-2020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 xml:space="preserve">Паспорт  </w:t>
      </w:r>
      <w:r w:rsidR="00360C76" w:rsidRPr="00B530D7">
        <w:rPr>
          <w:b/>
          <w:sz w:val="28"/>
          <w:szCs w:val="28"/>
        </w:rPr>
        <w:t>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</w:t>
      </w:r>
      <w:r w:rsidR="00C16D03">
        <w:t xml:space="preserve"> </w:t>
      </w:r>
      <w:r w:rsidRPr="00B530D7">
        <w:t xml:space="preserve">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 xml:space="preserve"> </w:t>
      </w:r>
      <w:proofErr w:type="spellStart"/>
      <w:r w:rsidRPr="00B530D7">
        <w:t>Киржач</w:t>
      </w:r>
      <w:proofErr w:type="spellEnd"/>
      <w:r w:rsidR="006B342A">
        <w:t xml:space="preserve"> </w:t>
      </w:r>
      <w:r w:rsidR="002C552E">
        <w:t>на 2016</w:t>
      </w:r>
      <w:r w:rsidR="0051192B" w:rsidRPr="0051192B">
        <w:t>-2020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977008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</w:t>
            </w:r>
            <w:proofErr w:type="spellStart"/>
            <w:r w:rsidRPr="00776786">
              <w:rPr>
                <w:sz w:val="27"/>
                <w:szCs w:val="27"/>
              </w:rPr>
              <w:t>Киржач</w:t>
            </w:r>
            <w:proofErr w:type="spellEnd"/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2016</w:t>
            </w:r>
            <w:r w:rsidR="0051192B" w:rsidRPr="0051192B">
              <w:rPr>
                <w:sz w:val="27"/>
                <w:szCs w:val="27"/>
              </w:rPr>
              <w:t>-2020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04243C" w:rsidP="00F43E0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количества объектов муниципального</w:t>
            </w:r>
            <w:r w:rsidR="00F43E03">
              <w:rPr>
                <w:sz w:val="27"/>
                <w:szCs w:val="27"/>
              </w:rPr>
              <w:t xml:space="preserve"> жилищного фонда, в которых проведен капитальный ремонт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2016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2017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2018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2019 год</w:t>
            </w:r>
          </w:p>
          <w:p w:rsidR="0051192B" w:rsidRPr="00776786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этап  -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51CCF">
              <w:rPr>
                <w:rFonts w:ascii="Times New Roman" w:hAnsi="Times New Roman" w:cs="Times New Roman"/>
                <w:sz w:val="27"/>
                <w:szCs w:val="27"/>
              </w:rPr>
              <w:t>Киржач</w:t>
            </w:r>
            <w:proofErr w:type="spellEnd"/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03AE">
              <w:rPr>
                <w:rFonts w:ascii="Times New Roman" w:hAnsi="Times New Roman" w:cs="Times New Roman"/>
                <w:sz w:val="27"/>
                <w:szCs w:val="27"/>
              </w:rPr>
              <w:t>3697,5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556,6</w:t>
            </w:r>
            <w:r w:rsidR="00C62B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C62BA6">
              <w:rPr>
                <w:rFonts w:ascii="Times New Roman" w:hAnsi="Times New Roman" w:cs="Times New Roman"/>
                <w:sz w:val="27"/>
                <w:szCs w:val="27"/>
              </w:rPr>
              <w:t>740,9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этап-  800,0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этап-  800,0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этап-  800,0 тыс. рублей</w:t>
            </w:r>
          </w:p>
          <w:p w:rsidR="002C552E" w:rsidRPr="00776786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</w:t>
      </w:r>
      <w:proofErr w:type="spellStart"/>
      <w:r w:rsidRPr="00F51CCF">
        <w:rPr>
          <w:sz w:val="27"/>
          <w:szCs w:val="27"/>
        </w:rPr>
        <w:t>Киржач</w:t>
      </w:r>
      <w:proofErr w:type="spellEnd"/>
      <w:r w:rsidRPr="00F51CCF">
        <w:rPr>
          <w:sz w:val="27"/>
          <w:szCs w:val="27"/>
        </w:rPr>
        <w:t>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701"/>
        <w:gridCol w:w="1418"/>
        <w:gridCol w:w="1417"/>
        <w:gridCol w:w="1418"/>
        <w:gridCol w:w="1417"/>
        <w:gridCol w:w="1560"/>
      </w:tblGrid>
      <w:tr w:rsidR="00C16D03" w:rsidTr="00C16D03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03" w:rsidRP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spellStart"/>
            <w:proofErr w:type="gramStart"/>
            <w:r>
              <w:rPr>
                <w:szCs w:val="28"/>
              </w:rPr>
              <w:t>финансирова-ния</w:t>
            </w:r>
            <w:proofErr w:type="spellEnd"/>
            <w:proofErr w:type="gramEnd"/>
          </w:p>
          <w:p w:rsidR="00C16D03" w:rsidRPr="00C16D03" w:rsidRDefault="00C16D03" w:rsidP="00F43E03">
            <w:pPr>
              <w:rPr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C16D03" w:rsidRDefault="00C16D03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/в т.ч. бюджет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  <w:proofErr w:type="spellEnd"/>
          </w:p>
        </w:tc>
      </w:tr>
      <w:tr w:rsidR="00C16D03" w:rsidTr="00C16D03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F43E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C16D03">
            <w:r>
              <w:t>2016-2020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</w:pPr>
            <w:r>
              <w:t>2020</w:t>
            </w:r>
          </w:p>
        </w:tc>
      </w:tr>
      <w:tr w:rsidR="00C16D03" w:rsidTr="00C16D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2954D9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 xml:space="preserve">, в т.ч. бюджет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proofErr w:type="spellEnd"/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DC3AFF" w:rsidP="00DC3AFF">
            <w:pPr>
              <w:rPr>
                <w:b/>
              </w:rPr>
            </w:pPr>
            <w:r>
              <w:rPr>
                <w:b/>
              </w:rPr>
              <w:t>3697,5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3697,5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Pr="0079551D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556,6/556,6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62BA6" w:rsidP="00C62BA6">
            <w:pPr>
              <w:jc w:val="center"/>
              <w:rPr>
                <w:b/>
              </w:rPr>
            </w:pPr>
            <w:r>
              <w:rPr>
                <w:b/>
              </w:rPr>
              <w:t>740,9</w:t>
            </w:r>
            <w:r w:rsidR="00C16D03">
              <w:rPr>
                <w:b/>
              </w:rPr>
              <w:t>/</w:t>
            </w:r>
            <w:r>
              <w:rPr>
                <w:b/>
              </w:rPr>
              <w:t>740,9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C16D03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03" w:rsidRDefault="00C16D03" w:rsidP="008E2BDF">
            <w:pPr>
              <w:jc w:val="center"/>
              <w:rPr>
                <w:b/>
              </w:rPr>
            </w:pPr>
            <w:r>
              <w:rPr>
                <w:b/>
              </w:rPr>
              <w:t>800,0/800,0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proofErr w:type="spellStart"/>
      <w:r w:rsidRPr="00F51CCF">
        <w:rPr>
          <w:sz w:val="27"/>
          <w:szCs w:val="27"/>
        </w:rPr>
        <w:t>Киржач</w:t>
      </w:r>
      <w:proofErr w:type="spellEnd"/>
      <w:r w:rsidRPr="00F51CCF">
        <w:rPr>
          <w:sz w:val="27"/>
          <w:szCs w:val="27"/>
        </w:rPr>
        <w:t>, целей  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</w:t>
      </w:r>
      <w:proofErr w:type="spellStart"/>
      <w:r w:rsidR="002954D9" w:rsidRPr="00F51CCF">
        <w:rPr>
          <w:sz w:val="27"/>
          <w:szCs w:val="27"/>
        </w:rPr>
        <w:t>Киржач</w:t>
      </w:r>
      <w:proofErr w:type="spellEnd"/>
      <w:r w:rsidR="002954D9" w:rsidRPr="00F51CCF">
        <w:rPr>
          <w:sz w:val="27"/>
          <w:szCs w:val="27"/>
        </w:rPr>
        <w:t xml:space="preserve"> </w:t>
      </w:r>
      <w:r w:rsidR="00C16D03">
        <w:rPr>
          <w:sz w:val="27"/>
          <w:szCs w:val="27"/>
        </w:rPr>
        <w:t xml:space="preserve"> </w:t>
      </w:r>
      <w:proofErr w:type="spellStart"/>
      <w:r w:rsidR="002C552E">
        <w:rPr>
          <w:sz w:val="27"/>
          <w:szCs w:val="27"/>
        </w:rPr>
        <w:t>Киржачского</w:t>
      </w:r>
      <w:proofErr w:type="spellEnd"/>
      <w:r w:rsidR="002C552E">
        <w:rPr>
          <w:sz w:val="27"/>
          <w:szCs w:val="27"/>
        </w:rPr>
        <w:t xml:space="preserve"> района </w:t>
      </w:r>
      <w:r w:rsidR="002954D9" w:rsidRPr="00F51CCF">
        <w:rPr>
          <w:sz w:val="27"/>
          <w:szCs w:val="27"/>
        </w:rPr>
        <w:t xml:space="preserve">  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5A35EE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фонда, повышается эффективность эксплуатации зданий, улучшается внешний, эстетич</w:t>
      </w:r>
      <w:r w:rsidR="00EE1998" w:rsidRPr="00F51CCF">
        <w:rPr>
          <w:sz w:val="27"/>
          <w:szCs w:val="27"/>
        </w:rPr>
        <w:t>ный</w:t>
      </w:r>
      <w:r w:rsidRPr="00F51CCF">
        <w:rPr>
          <w:sz w:val="27"/>
          <w:szCs w:val="27"/>
        </w:rPr>
        <w:t xml:space="preserve">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4F523F" w:rsidRDefault="004F523F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</w:t>
      </w:r>
      <w:proofErr w:type="spellStart"/>
      <w:r w:rsidRPr="00DA157D">
        <w:rPr>
          <w:b/>
          <w:sz w:val="28"/>
        </w:rPr>
        <w:t>Киржач</w:t>
      </w:r>
      <w:proofErr w:type="spellEnd"/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709"/>
        <w:gridCol w:w="708"/>
        <w:gridCol w:w="709"/>
        <w:gridCol w:w="709"/>
        <w:gridCol w:w="709"/>
        <w:gridCol w:w="708"/>
      </w:tblGrid>
      <w:tr w:rsidR="00D561C4" w:rsidRPr="001E0A01" w:rsidTr="00D561C4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</w:r>
            <w:r w:rsidR="00B76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D561C4" w:rsidRPr="001E0A01" w:rsidTr="00D561C4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561C4" w:rsidRPr="001E0A01" w:rsidTr="00D561C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3D7B1B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561C4" w:rsidRPr="001E0A01" w:rsidTr="00D561C4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C3AF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C62BA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D561C4" w:rsidRPr="001E0A01" w:rsidTr="00D561C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5E5CFB" w:rsidRDefault="00D561C4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города </w:t>
            </w:r>
            <w:proofErr w:type="spellStart"/>
            <w:r>
              <w:rPr>
                <w:rFonts w:ascii="Times New Roman" w:hAnsi="Times New Roman" w:cs="Times New Roman"/>
              </w:rPr>
              <w:t>Киржач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Pr="001E0A01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C3AF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C62BA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4" w:rsidRDefault="00D561C4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4F523F" w:rsidRDefault="004F523F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315E71" w:rsidRPr="00DE7341" w:rsidTr="00C16D03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C16D03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C16D0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D6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proofErr w:type="spellStart"/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proofErr w:type="spellEnd"/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-2020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C16D03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5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D6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spellStart"/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напрямую связано с техническим состоянием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37106E">
      <w:footerReference w:type="default" r:id="rId9"/>
      <w:pgSz w:w="11906" w:h="16838"/>
      <w:pgMar w:top="709" w:right="849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DD" w:rsidRDefault="000C48DD">
      <w:r>
        <w:separator/>
      </w:r>
    </w:p>
  </w:endnote>
  <w:endnote w:type="continuationSeparator" w:id="0">
    <w:p w:rsidR="000C48DD" w:rsidRDefault="000C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DD" w:rsidRDefault="000C48DD">
      <w:r>
        <w:separator/>
      </w:r>
    </w:p>
  </w:footnote>
  <w:footnote w:type="continuationSeparator" w:id="0">
    <w:p w:rsidR="000C48DD" w:rsidRDefault="000C4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40B8"/>
    <w:rsid w:val="0004243C"/>
    <w:rsid w:val="000568A7"/>
    <w:rsid w:val="000603AE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B46F2"/>
    <w:rsid w:val="000C48DD"/>
    <w:rsid w:val="000C52ED"/>
    <w:rsid w:val="000F5E4D"/>
    <w:rsid w:val="000F725D"/>
    <w:rsid w:val="001113C5"/>
    <w:rsid w:val="00123D1C"/>
    <w:rsid w:val="00140374"/>
    <w:rsid w:val="00143BFF"/>
    <w:rsid w:val="001452F9"/>
    <w:rsid w:val="00152E53"/>
    <w:rsid w:val="00155520"/>
    <w:rsid w:val="001839D8"/>
    <w:rsid w:val="001D0270"/>
    <w:rsid w:val="001D5B1C"/>
    <w:rsid w:val="001D7142"/>
    <w:rsid w:val="001E19E7"/>
    <w:rsid w:val="002160F1"/>
    <w:rsid w:val="00230105"/>
    <w:rsid w:val="00235340"/>
    <w:rsid w:val="002471D2"/>
    <w:rsid w:val="00261B7C"/>
    <w:rsid w:val="002933AD"/>
    <w:rsid w:val="002954D9"/>
    <w:rsid w:val="002963A6"/>
    <w:rsid w:val="002A517E"/>
    <w:rsid w:val="002C22A8"/>
    <w:rsid w:val="002C552E"/>
    <w:rsid w:val="002E6B83"/>
    <w:rsid w:val="002F06F3"/>
    <w:rsid w:val="00314210"/>
    <w:rsid w:val="00315E71"/>
    <w:rsid w:val="00316E03"/>
    <w:rsid w:val="003408DD"/>
    <w:rsid w:val="00360C76"/>
    <w:rsid w:val="00365B06"/>
    <w:rsid w:val="0037106E"/>
    <w:rsid w:val="00385BFA"/>
    <w:rsid w:val="003A674C"/>
    <w:rsid w:val="003A6D3A"/>
    <w:rsid w:val="003B05E4"/>
    <w:rsid w:val="003B0822"/>
    <w:rsid w:val="003C24EB"/>
    <w:rsid w:val="003D66AD"/>
    <w:rsid w:val="003D7B1B"/>
    <w:rsid w:val="003F1EB4"/>
    <w:rsid w:val="003F42D2"/>
    <w:rsid w:val="003F73C0"/>
    <w:rsid w:val="0040468E"/>
    <w:rsid w:val="0040743E"/>
    <w:rsid w:val="00407D0D"/>
    <w:rsid w:val="0044357B"/>
    <w:rsid w:val="00454F0E"/>
    <w:rsid w:val="00461675"/>
    <w:rsid w:val="00473ED7"/>
    <w:rsid w:val="004742FA"/>
    <w:rsid w:val="00481BB1"/>
    <w:rsid w:val="00483628"/>
    <w:rsid w:val="0048452B"/>
    <w:rsid w:val="004B5CFC"/>
    <w:rsid w:val="004C5AAF"/>
    <w:rsid w:val="004C75B5"/>
    <w:rsid w:val="004D288D"/>
    <w:rsid w:val="004E4A69"/>
    <w:rsid w:val="004F523F"/>
    <w:rsid w:val="00507E3C"/>
    <w:rsid w:val="0051192B"/>
    <w:rsid w:val="00514305"/>
    <w:rsid w:val="0055755E"/>
    <w:rsid w:val="00560FFF"/>
    <w:rsid w:val="00567F80"/>
    <w:rsid w:val="00570C64"/>
    <w:rsid w:val="00570CCD"/>
    <w:rsid w:val="00586D9F"/>
    <w:rsid w:val="00592E2A"/>
    <w:rsid w:val="005A35EE"/>
    <w:rsid w:val="005D3005"/>
    <w:rsid w:val="005D445F"/>
    <w:rsid w:val="005E0FA4"/>
    <w:rsid w:val="005E5CFB"/>
    <w:rsid w:val="00612B0F"/>
    <w:rsid w:val="006239A1"/>
    <w:rsid w:val="006324A3"/>
    <w:rsid w:val="00632EEB"/>
    <w:rsid w:val="00644533"/>
    <w:rsid w:val="00646DE7"/>
    <w:rsid w:val="006572FA"/>
    <w:rsid w:val="00663835"/>
    <w:rsid w:val="00680353"/>
    <w:rsid w:val="00695CD9"/>
    <w:rsid w:val="006A316A"/>
    <w:rsid w:val="006A787B"/>
    <w:rsid w:val="006B1D7F"/>
    <w:rsid w:val="006B342A"/>
    <w:rsid w:val="006C7648"/>
    <w:rsid w:val="006D2D4C"/>
    <w:rsid w:val="006D5D1E"/>
    <w:rsid w:val="007063AB"/>
    <w:rsid w:val="0072401E"/>
    <w:rsid w:val="007368F6"/>
    <w:rsid w:val="00762413"/>
    <w:rsid w:val="007678E3"/>
    <w:rsid w:val="00776786"/>
    <w:rsid w:val="00776D76"/>
    <w:rsid w:val="00790CFD"/>
    <w:rsid w:val="0079551D"/>
    <w:rsid w:val="00796F47"/>
    <w:rsid w:val="007A4A39"/>
    <w:rsid w:val="007C55E3"/>
    <w:rsid w:val="007D3800"/>
    <w:rsid w:val="007E4DD9"/>
    <w:rsid w:val="008050EE"/>
    <w:rsid w:val="00805ED2"/>
    <w:rsid w:val="00812621"/>
    <w:rsid w:val="00815656"/>
    <w:rsid w:val="00832B88"/>
    <w:rsid w:val="008350F6"/>
    <w:rsid w:val="00853157"/>
    <w:rsid w:val="00856AC2"/>
    <w:rsid w:val="008736CD"/>
    <w:rsid w:val="008975D6"/>
    <w:rsid w:val="008A6458"/>
    <w:rsid w:val="008D7117"/>
    <w:rsid w:val="008E2BDF"/>
    <w:rsid w:val="00900366"/>
    <w:rsid w:val="00904443"/>
    <w:rsid w:val="00916378"/>
    <w:rsid w:val="00921108"/>
    <w:rsid w:val="00924711"/>
    <w:rsid w:val="0094547A"/>
    <w:rsid w:val="00962A91"/>
    <w:rsid w:val="00977008"/>
    <w:rsid w:val="009831B9"/>
    <w:rsid w:val="00986C4D"/>
    <w:rsid w:val="009C0620"/>
    <w:rsid w:val="009D51A2"/>
    <w:rsid w:val="009D6575"/>
    <w:rsid w:val="009F6F48"/>
    <w:rsid w:val="00A06905"/>
    <w:rsid w:val="00A168ED"/>
    <w:rsid w:val="00A17DF6"/>
    <w:rsid w:val="00A30BB3"/>
    <w:rsid w:val="00A4283C"/>
    <w:rsid w:val="00A46014"/>
    <w:rsid w:val="00A504D8"/>
    <w:rsid w:val="00A52D32"/>
    <w:rsid w:val="00A6074B"/>
    <w:rsid w:val="00A619C1"/>
    <w:rsid w:val="00A660CE"/>
    <w:rsid w:val="00A7136F"/>
    <w:rsid w:val="00A75FE6"/>
    <w:rsid w:val="00A76F61"/>
    <w:rsid w:val="00A77D75"/>
    <w:rsid w:val="00A84A94"/>
    <w:rsid w:val="00A970EE"/>
    <w:rsid w:val="00AA59B3"/>
    <w:rsid w:val="00AA5FFF"/>
    <w:rsid w:val="00AE4265"/>
    <w:rsid w:val="00AF3059"/>
    <w:rsid w:val="00B16D75"/>
    <w:rsid w:val="00B530D7"/>
    <w:rsid w:val="00B76CB4"/>
    <w:rsid w:val="00B822D7"/>
    <w:rsid w:val="00B82A35"/>
    <w:rsid w:val="00B92C1F"/>
    <w:rsid w:val="00B9529B"/>
    <w:rsid w:val="00BA5469"/>
    <w:rsid w:val="00BA755E"/>
    <w:rsid w:val="00BE238E"/>
    <w:rsid w:val="00BE2E75"/>
    <w:rsid w:val="00BE6F79"/>
    <w:rsid w:val="00C16D03"/>
    <w:rsid w:val="00C2136E"/>
    <w:rsid w:val="00C22EB4"/>
    <w:rsid w:val="00C27BC3"/>
    <w:rsid w:val="00C62BA6"/>
    <w:rsid w:val="00C95DA9"/>
    <w:rsid w:val="00CB6CE9"/>
    <w:rsid w:val="00CB6FFD"/>
    <w:rsid w:val="00CD54F4"/>
    <w:rsid w:val="00CE022A"/>
    <w:rsid w:val="00D1193A"/>
    <w:rsid w:val="00D37A42"/>
    <w:rsid w:val="00D561C4"/>
    <w:rsid w:val="00D572BA"/>
    <w:rsid w:val="00D91DCD"/>
    <w:rsid w:val="00DA157D"/>
    <w:rsid w:val="00DA1DC2"/>
    <w:rsid w:val="00DA23C9"/>
    <w:rsid w:val="00DB2D15"/>
    <w:rsid w:val="00DC3AFF"/>
    <w:rsid w:val="00DC74C2"/>
    <w:rsid w:val="00DD1960"/>
    <w:rsid w:val="00DD3989"/>
    <w:rsid w:val="00DE7341"/>
    <w:rsid w:val="00E01C7A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8618B"/>
    <w:rsid w:val="00E91E0B"/>
    <w:rsid w:val="00E9531A"/>
    <w:rsid w:val="00EC0D33"/>
    <w:rsid w:val="00EC543E"/>
    <w:rsid w:val="00EC5C6C"/>
    <w:rsid w:val="00EC5E0F"/>
    <w:rsid w:val="00EC6D8D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8BFF-8D2E-4856-A085-5FE94A17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9184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30</cp:revision>
  <cp:lastPrinted>2017-12-08T09:12:00Z</cp:lastPrinted>
  <dcterms:created xsi:type="dcterms:W3CDTF">2016-12-06T09:11:00Z</dcterms:created>
  <dcterms:modified xsi:type="dcterms:W3CDTF">2017-12-08T09:13:00Z</dcterms:modified>
</cp:coreProperties>
</file>