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108" w:type="dxa"/>
        <w:tblLayout w:type="fixed"/>
        <w:tblLook w:val="01E0"/>
      </w:tblPr>
      <w:tblGrid>
        <w:gridCol w:w="236"/>
        <w:gridCol w:w="1607"/>
        <w:gridCol w:w="4253"/>
        <w:gridCol w:w="1984"/>
        <w:gridCol w:w="1333"/>
        <w:gridCol w:w="467"/>
        <w:gridCol w:w="342"/>
        <w:gridCol w:w="18"/>
      </w:tblGrid>
      <w:tr w:rsidR="000B2AC5" w:rsidTr="00BB1D9E">
        <w:trPr>
          <w:gridAfter w:val="1"/>
          <w:wAfter w:w="18" w:type="dxa"/>
          <w:trHeight w:val="1996"/>
        </w:trPr>
        <w:tc>
          <w:tcPr>
            <w:tcW w:w="10222" w:type="dxa"/>
            <w:gridSpan w:val="7"/>
            <w:vAlign w:val="center"/>
          </w:tcPr>
          <w:p w:rsidR="000B2AC5" w:rsidRDefault="000B2AC5" w:rsidP="000B2AC5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C5" w:rsidRDefault="000B2AC5" w:rsidP="000B2AC5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СОВЕТ НАРОДНЫХ ДЕПУТАТОВ ГОРОДА КИРЖАЧ</w:t>
            </w:r>
          </w:p>
          <w:p w:rsidR="000B2AC5" w:rsidRDefault="000B2AC5" w:rsidP="000B2AC5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КИРЖАЧСКОГО  РАЙОНА</w:t>
            </w:r>
          </w:p>
          <w:p w:rsidR="000B2AC5" w:rsidRDefault="000B2AC5" w:rsidP="000B2AC5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</w:p>
          <w:p w:rsidR="000B2AC5" w:rsidRPr="00DB5250" w:rsidRDefault="000B2AC5" w:rsidP="000B2AC5">
            <w:pPr>
              <w:spacing w:line="276" w:lineRule="auto"/>
              <w:jc w:val="center"/>
              <w:rPr>
                <w:b/>
                <w:spacing w:val="160"/>
                <w:sz w:val="44"/>
              </w:rPr>
            </w:pPr>
            <w:r>
              <w:rPr>
                <w:b/>
                <w:spacing w:val="160"/>
                <w:sz w:val="44"/>
              </w:rPr>
              <w:t>РЕШЕНИЕ</w:t>
            </w:r>
          </w:p>
        </w:tc>
      </w:tr>
      <w:tr w:rsidR="000B2AC5" w:rsidTr="00BB1D9E">
        <w:trPr>
          <w:trHeight w:hRule="exact" w:val="567"/>
        </w:trPr>
        <w:tc>
          <w:tcPr>
            <w:tcW w:w="236" w:type="dxa"/>
            <w:vAlign w:val="center"/>
          </w:tcPr>
          <w:p w:rsidR="000B2AC5" w:rsidRDefault="000B2AC5" w:rsidP="000B2AC5">
            <w:pPr>
              <w:spacing w:line="360" w:lineRule="auto"/>
              <w:rPr>
                <w:sz w:val="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AC5" w:rsidRDefault="00BB1D9E" w:rsidP="000B2AC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30.01.2024</w:t>
            </w:r>
          </w:p>
        </w:tc>
        <w:tc>
          <w:tcPr>
            <w:tcW w:w="6237" w:type="dxa"/>
            <w:gridSpan w:val="2"/>
            <w:vAlign w:val="center"/>
          </w:tcPr>
          <w:p w:rsidR="000B2AC5" w:rsidRDefault="000B2AC5" w:rsidP="000B2AC5">
            <w:pPr>
              <w:spacing w:line="360" w:lineRule="auto"/>
              <w:rPr>
                <w:sz w:val="24"/>
              </w:rPr>
            </w:pPr>
          </w:p>
        </w:tc>
        <w:tc>
          <w:tcPr>
            <w:tcW w:w="1333" w:type="dxa"/>
            <w:vAlign w:val="bottom"/>
            <w:hideMark/>
          </w:tcPr>
          <w:p w:rsidR="000B2AC5" w:rsidRPr="00BB1D9E" w:rsidRDefault="000B2AC5" w:rsidP="000B2AC5">
            <w:pPr>
              <w:spacing w:line="276" w:lineRule="auto"/>
              <w:rPr>
                <w:sz w:val="28"/>
                <w:u w:val="single"/>
              </w:rPr>
            </w:pPr>
            <w:r w:rsidRPr="00BB1D9E">
              <w:rPr>
                <w:sz w:val="28"/>
                <w:u w:val="single"/>
              </w:rPr>
              <w:t>№</w:t>
            </w:r>
            <w:r w:rsidR="00BB1D9E" w:rsidRPr="00BB1D9E">
              <w:rPr>
                <w:sz w:val="28"/>
                <w:u w:val="single"/>
              </w:rPr>
              <w:t xml:space="preserve"> 61/392</w:t>
            </w:r>
          </w:p>
        </w:tc>
        <w:tc>
          <w:tcPr>
            <w:tcW w:w="467" w:type="dxa"/>
            <w:vAlign w:val="bottom"/>
          </w:tcPr>
          <w:p w:rsidR="000B2AC5" w:rsidRDefault="000B2AC5" w:rsidP="000B2AC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0B2AC5" w:rsidRDefault="000B2AC5" w:rsidP="000B2AC5">
            <w:pPr>
              <w:spacing w:line="360" w:lineRule="auto"/>
              <w:rPr>
                <w:sz w:val="2"/>
              </w:rPr>
            </w:pPr>
          </w:p>
        </w:tc>
      </w:tr>
      <w:tr w:rsidR="000B2AC5" w:rsidTr="00BB1D9E">
        <w:trPr>
          <w:gridAfter w:val="1"/>
          <w:wAfter w:w="18" w:type="dxa"/>
          <w:trHeight w:val="568"/>
        </w:trPr>
        <w:tc>
          <w:tcPr>
            <w:tcW w:w="10222" w:type="dxa"/>
            <w:gridSpan w:val="7"/>
            <w:vAlign w:val="center"/>
          </w:tcPr>
          <w:p w:rsidR="000B2AC5" w:rsidRDefault="000B2AC5" w:rsidP="000B2AC5">
            <w:pPr>
              <w:rPr>
                <w:sz w:val="28"/>
              </w:rPr>
            </w:pPr>
          </w:p>
        </w:tc>
      </w:tr>
      <w:tr w:rsidR="000B2AC5" w:rsidTr="00BB1D9E">
        <w:trPr>
          <w:gridAfter w:val="1"/>
          <w:wAfter w:w="18" w:type="dxa"/>
          <w:trHeight w:hRule="exact" w:val="2158"/>
        </w:trPr>
        <w:tc>
          <w:tcPr>
            <w:tcW w:w="6096" w:type="dxa"/>
            <w:gridSpan w:val="3"/>
            <w:hideMark/>
          </w:tcPr>
          <w:p w:rsidR="000B2AC5" w:rsidRPr="000B2AC5" w:rsidRDefault="000B2AC5" w:rsidP="00055CA4">
            <w:pPr>
              <w:jc w:val="both"/>
              <w:rPr>
                <w:i/>
                <w:sz w:val="26"/>
                <w:szCs w:val="26"/>
              </w:rPr>
            </w:pPr>
            <w:r w:rsidRPr="000B2AC5">
              <w:rPr>
                <w:i/>
                <w:sz w:val="26"/>
                <w:szCs w:val="26"/>
              </w:rPr>
              <w:t xml:space="preserve">Об утверждении </w:t>
            </w:r>
            <w:hyperlink w:anchor="P34" w:history="1">
              <w:r w:rsidRPr="000B2AC5">
                <w:rPr>
                  <w:rStyle w:val="af4"/>
                  <w:rFonts w:eastAsiaTheme="majorEastAsia"/>
                  <w:i/>
                  <w:color w:val="auto"/>
                  <w:sz w:val="28"/>
                  <w:szCs w:val="28"/>
                  <w:u w:val="none"/>
                </w:rPr>
                <w:t>Поряд</w:t>
              </w:r>
              <w:r>
                <w:rPr>
                  <w:rStyle w:val="af4"/>
                  <w:rFonts w:eastAsiaTheme="majorEastAsia"/>
                  <w:i/>
                  <w:color w:val="auto"/>
                  <w:sz w:val="28"/>
                  <w:szCs w:val="28"/>
                  <w:u w:val="none"/>
                </w:rPr>
                <w:t>ка</w:t>
              </w:r>
            </w:hyperlink>
            <w:r w:rsidRPr="000B2AC5">
              <w:rPr>
                <w:i/>
                <w:sz w:val="28"/>
                <w:szCs w:val="28"/>
              </w:rPr>
              <w:t xml:space="preserve"> выдвижения, внесения, обсуждения и рассмотрения инициативных проектов, а также проведения их конкурсного отбора в муниципальном образовании город </w:t>
            </w:r>
            <w:r w:rsidR="00055CA4">
              <w:rPr>
                <w:i/>
                <w:sz w:val="28"/>
                <w:szCs w:val="28"/>
              </w:rPr>
              <w:t>Киржач Киржачского района</w:t>
            </w:r>
          </w:p>
        </w:tc>
        <w:tc>
          <w:tcPr>
            <w:tcW w:w="4126" w:type="dxa"/>
            <w:gridSpan w:val="4"/>
            <w:vAlign w:val="center"/>
          </w:tcPr>
          <w:p w:rsidR="000B2AC5" w:rsidRDefault="000B2AC5" w:rsidP="000B2AC5">
            <w:pPr>
              <w:spacing w:line="360" w:lineRule="auto"/>
              <w:rPr>
                <w:sz w:val="28"/>
              </w:rPr>
            </w:pPr>
          </w:p>
        </w:tc>
      </w:tr>
    </w:tbl>
    <w:p w:rsidR="00055CA4" w:rsidRDefault="000B2AC5" w:rsidP="00055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0"/>
          <w:sz w:val="28"/>
          <w:szCs w:val="28"/>
        </w:rPr>
        <w:tab/>
      </w:r>
      <w:r w:rsidR="00055CA4" w:rsidRPr="00055C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055CA4" w:rsidRPr="00055CA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26.1</w:t>
        </w:r>
      </w:hyperlink>
      <w:r w:rsidR="00055CA4" w:rsidRPr="00055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55CA4" w:rsidRPr="00055CA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055CA4" w:rsidRPr="00055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55CA4" w:rsidRPr="00055CA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="00055CA4" w:rsidRPr="00055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55CA4" w:rsidRPr="00055CA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="00055CA4" w:rsidRPr="00055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55CA4" w:rsidRPr="00055CA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56.1</w:t>
        </w:r>
      </w:hyperlink>
      <w:r w:rsidR="00055CA4" w:rsidRPr="00055CA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055CA4">
        <w:rPr>
          <w:rFonts w:ascii="Times New Roman" w:hAnsi="Times New Roman" w:cs="Times New Roman"/>
          <w:sz w:val="28"/>
          <w:szCs w:val="28"/>
        </w:rPr>
        <w:t>№</w:t>
      </w:r>
      <w:r w:rsidR="00055CA4" w:rsidRPr="00055CA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55CA4">
        <w:rPr>
          <w:rFonts w:ascii="Times New Roman" w:hAnsi="Times New Roman" w:cs="Times New Roman"/>
          <w:sz w:val="28"/>
          <w:szCs w:val="28"/>
        </w:rPr>
        <w:t>«</w:t>
      </w:r>
      <w:r w:rsidR="00055CA4" w:rsidRPr="00055C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5CA4">
        <w:rPr>
          <w:rFonts w:ascii="Times New Roman" w:hAnsi="Times New Roman" w:cs="Times New Roman"/>
          <w:sz w:val="28"/>
          <w:szCs w:val="28"/>
        </w:rPr>
        <w:t>»</w:t>
      </w:r>
      <w:r w:rsidR="00055CA4" w:rsidRPr="00055C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55CA4" w:rsidRPr="00055CA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="001D6D47">
        <w:rPr>
          <w:rFonts w:ascii="Times New Roman" w:hAnsi="Times New Roman" w:cs="Times New Roman"/>
          <w:sz w:val="28"/>
          <w:szCs w:val="28"/>
        </w:rPr>
        <w:t>14</w:t>
      </w:r>
      <w:r w:rsidR="00055CA4" w:rsidRPr="00055CA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</w:t>
      </w:r>
      <w:r w:rsidR="001D6D47">
        <w:rPr>
          <w:rFonts w:ascii="Times New Roman" w:hAnsi="Times New Roman" w:cs="Times New Roman"/>
          <w:sz w:val="28"/>
          <w:szCs w:val="28"/>
        </w:rPr>
        <w:t>Киржач Киржачского района</w:t>
      </w:r>
      <w:r w:rsidR="00055CA4" w:rsidRPr="00055CA4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664E1E">
        <w:rPr>
          <w:rFonts w:ascii="Times New Roman" w:hAnsi="Times New Roman" w:cs="Times New Roman"/>
          <w:sz w:val="28"/>
          <w:szCs w:val="28"/>
        </w:rPr>
        <w:t xml:space="preserve"> города Киржач</w:t>
      </w:r>
    </w:p>
    <w:p w:rsidR="00BB1D9E" w:rsidRPr="00BB1D9E" w:rsidRDefault="00BB1D9E" w:rsidP="00BB1D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B2AC5" w:rsidRDefault="000B2AC5" w:rsidP="000B2AC5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BB1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B1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BB1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B1D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Л:</w:t>
      </w:r>
    </w:p>
    <w:p w:rsidR="001D6D47" w:rsidRPr="001D6D47" w:rsidRDefault="001D6D47" w:rsidP="001D6D4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1. </w:t>
      </w:r>
      <w:r w:rsidRPr="001D6D4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1D6D4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D6D47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>Киржач Киржачского района</w:t>
      </w:r>
      <w:r w:rsidRPr="001D6D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6D47" w:rsidRPr="001D6D47" w:rsidRDefault="001D6D47" w:rsidP="001D6D4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D47">
        <w:rPr>
          <w:rFonts w:ascii="Times New Roman" w:hAnsi="Times New Roman" w:cs="Times New Roman"/>
          <w:sz w:val="28"/>
          <w:szCs w:val="28"/>
        </w:rPr>
        <w:t xml:space="preserve">2. </w:t>
      </w:r>
      <w:r w:rsidR="00664E1E">
        <w:rPr>
          <w:rFonts w:ascii="Times New Roman" w:hAnsi="Times New Roman" w:cs="Times New Roman"/>
          <w:sz w:val="28"/>
          <w:szCs w:val="28"/>
        </w:rPr>
        <w:t xml:space="preserve"> </w:t>
      </w:r>
      <w:r w:rsidRPr="001D6D47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«Красное знамя»</w:t>
      </w:r>
      <w:r w:rsidRPr="001D6D4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органа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Киржач</w:t>
      </w:r>
      <w:r w:rsidRPr="001D6D47">
        <w:rPr>
          <w:rFonts w:ascii="Times New Roman" w:hAnsi="Times New Roman" w:cs="Times New Roman"/>
          <w:sz w:val="28"/>
          <w:szCs w:val="28"/>
        </w:rPr>
        <w:t>.</w:t>
      </w:r>
    </w:p>
    <w:p w:rsidR="000B2AC5" w:rsidRDefault="000B2AC5" w:rsidP="001D6D47">
      <w:pPr>
        <w:shd w:val="clear" w:color="auto" w:fill="FFFFFF"/>
        <w:jc w:val="both"/>
        <w:rPr>
          <w:sz w:val="28"/>
          <w:szCs w:val="28"/>
        </w:rPr>
      </w:pPr>
    </w:p>
    <w:p w:rsidR="000B2AC5" w:rsidRDefault="000B2AC5" w:rsidP="000B2AC5">
      <w:pPr>
        <w:shd w:val="clear" w:color="auto" w:fill="FFFFFF"/>
        <w:jc w:val="both"/>
        <w:rPr>
          <w:sz w:val="28"/>
          <w:szCs w:val="28"/>
        </w:rPr>
      </w:pPr>
    </w:p>
    <w:p w:rsidR="000B2AC5" w:rsidRDefault="000B2AC5" w:rsidP="000B2AC5">
      <w:pPr>
        <w:shd w:val="clear" w:color="auto" w:fill="FFFFFF"/>
        <w:jc w:val="both"/>
        <w:rPr>
          <w:sz w:val="28"/>
          <w:szCs w:val="28"/>
        </w:rPr>
      </w:pPr>
    </w:p>
    <w:p w:rsidR="000B2AC5" w:rsidRDefault="000B2AC5" w:rsidP="000B2AC5">
      <w:pPr>
        <w:shd w:val="clear" w:color="auto" w:fill="FFFFFF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Глава города Киржач                                                                        В.Г. Тюленев</w:t>
      </w:r>
    </w:p>
    <w:p w:rsidR="000B2AC5" w:rsidRDefault="000B2AC5" w:rsidP="000B2AC5"/>
    <w:p w:rsidR="000B2AC5" w:rsidRDefault="000B2AC5" w:rsidP="000B2AC5">
      <w:pPr>
        <w:jc w:val="both"/>
      </w:pPr>
    </w:p>
    <w:p w:rsidR="000B2AC5" w:rsidRDefault="000B2AC5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AC5" w:rsidRPr="00F401A2" w:rsidRDefault="000B2AC5" w:rsidP="00BB1D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01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B1D9E" w:rsidRPr="00F401A2">
        <w:rPr>
          <w:rFonts w:ascii="Times New Roman" w:hAnsi="Times New Roman" w:cs="Times New Roman"/>
          <w:sz w:val="26"/>
          <w:szCs w:val="26"/>
        </w:rPr>
        <w:t xml:space="preserve"> </w:t>
      </w:r>
      <w:r w:rsidRPr="00F401A2">
        <w:rPr>
          <w:rFonts w:ascii="Times New Roman" w:hAnsi="Times New Roman" w:cs="Times New Roman"/>
          <w:sz w:val="26"/>
          <w:szCs w:val="26"/>
        </w:rPr>
        <w:t>к решению</w:t>
      </w:r>
    </w:p>
    <w:p w:rsidR="000B2AC5" w:rsidRPr="00F401A2" w:rsidRDefault="000B2AC5" w:rsidP="000B2A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A2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0B2AC5" w:rsidRPr="00F401A2" w:rsidRDefault="000B2AC5" w:rsidP="000B2A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A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E0C7E" w:rsidRPr="00F401A2">
        <w:rPr>
          <w:rFonts w:ascii="Times New Roman" w:hAnsi="Times New Roman" w:cs="Times New Roman"/>
          <w:sz w:val="26"/>
          <w:szCs w:val="26"/>
        </w:rPr>
        <w:t>Киржач Киржачского района</w:t>
      </w:r>
    </w:p>
    <w:p w:rsidR="000B2AC5" w:rsidRPr="00F401A2" w:rsidRDefault="000B2AC5" w:rsidP="000B2A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401A2">
        <w:rPr>
          <w:rFonts w:ascii="Times New Roman" w:hAnsi="Times New Roman" w:cs="Times New Roman"/>
          <w:sz w:val="26"/>
          <w:szCs w:val="26"/>
        </w:rPr>
        <w:t xml:space="preserve">от </w:t>
      </w:r>
      <w:r w:rsidR="00BB1D9E" w:rsidRPr="00F401A2">
        <w:rPr>
          <w:rFonts w:ascii="Times New Roman" w:hAnsi="Times New Roman" w:cs="Times New Roman"/>
          <w:sz w:val="26"/>
          <w:szCs w:val="26"/>
        </w:rPr>
        <w:t>30.01.2024  № 61/392</w:t>
      </w:r>
    </w:p>
    <w:p w:rsid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Pr="000B2AC5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B2AC5">
        <w:rPr>
          <w:rFonts w:ascii="Times New Roman" w:hAnsi="Times New Roman" w:cs="Times New Roman"/>
          <w:sz w:val="28"/>
          <w:szCs w:val="28"/>
        </w:rPr>
        <w:t>ПОРЯДОК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</w:t>
      </w:r>
      <w:r w:rsidR="002C4A27">
        <w:rPr>
          <w:rFonts w:ascii="Times New Roman" w:hAnsi="Times New Roman" w:cs="Times New Roman"/>
          <w:sz w:val="28"/>
          <w:szCs w:val="28"/>
        </w:rPr>
        <w:t xml:space="preserve"> </w:t>
      </w:r>
      <w:r w:rsidRPr="000B2AC5">
        <w:rPr>
          <w:rFonts w:ascii="Times New Roman" w:hAnsi="Times New Roman" w:cs="Times New Roman"/>
          <w:sz w:val="28"/>
          <w:szCs w:val="28"/>
        </w:rPr>
        <w:t>ПРОЕКТОВ, А ТАКЖЕ ПРОВЕДЕНИЯ ИХ КОНКУРСНОГО ОТБОРА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</w:t>
      </w:r>
      <w:r w:rsidR="002C4A27">
        <w:rPr>
          <w:rFonts w:ascii="Times New Roman" w:hAnsi="Times New Roman" w:cs="Times New Roman"/>
          <w:sz w:val="28"/>
          <w:szCs w:val="28"/>
        </w:rPr>
        <w:t>КИРЖАЧ КИРЖАЧСКОГО РАЙОНА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2C4A27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27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</w:t>
      </w:r>
      <w:hyperlink r:id="rId12" w:history="1">
        <w:r w:rsidRPr="002C4A2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C4A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2C4A2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C4A27">
        <w:rPr>
          <w:rFonts w:ascii="Times New Roman" w:hAnsi="Times New Roman" w:cs="Times New Roman"/>
          <w:sz w:val="28"/>
          <w:szCs w:val="28"/>
        </w:rPr>
        <w:t xml:space="preserve"> от </w:t>
      </w:r>
      <w:r w:rsidR="00751DCC">
        <w:rPr>
          <w:rFonts w:ascii="Times New Roman" w:hAnsi="Times New Roman" w:cs="Times New Roman"/>
          <w:sz w:val="28"/>
          <w:szCs w:val="28"/>
        </w:rPr>
        <w:t>0</w:t>
      </w:r>
      <w:r w:rsidRPr="002C4A27">
        <w:rPr>
          <w:rFonts w:ascii="Times New Roman" w:hAnsi="Times New Roman" w:cs="Times New Roman"/>
          <w:sz w:val="28"/>
          <w:szCs w:val="28"/>
        </w:rPr>
        <w:t>6</w:t>
      </w:r>
      <w:r w:rsidR="002C4A27">
        <w:rPr>
          <w:rFonts w:ascii="Times New Roman" w:hAnsi="Times New Roman" w:cs="Times New Roman"/>
          <w:sz w:val="28"/>
          <w:szCs w:val="28"/>
        </w:rPr>
        <w:t>.10.</w:t>
      </w:r>
      <w:r w:rsidRPr="002C4A27">
        <w:rPr>
          <w:rFonts w:ascii="Times New Roman" w:hAnsi="Times New Roman" w:cs="Times New Roman"/>
          <w:sz w:val="28"/>
          <w:szCs w:val="28"/>
        </w:rPr>
        <w:t xml:space="preserve">2003 </w:t>
      </w:r>
      <w:r w:rsidR="002C4A27">
        <w:rPr>
          <w:rFonts w:ascii="Times New Roman" w:hAnsi="Times New Roman" w:cs="Times New Roman"/>
          <w:sz w:val="28"/>
          <w:szCs w:val="28"/>
        </w:rPr>
        <w:t>№ 131-ФЗ «</w:t>
      </w:r>
      <w:r w:rsidRPr="002C4A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4A27">
        <w:rPr>
          <w:rFonts w:ascii="Times New Roman" w:hAnsi="Times New Roman" w:cs="Times New Roman"/>
          <w:sz w:val="28"/>
          <w:szCs w:val="28"/>
        </w:rPr>
        <w:t>»</w:t>
      </w:r>
      <w:r w:rsidRPr="002C4A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C4A2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C4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2C4A27">
        <w:rPr>
          <w:rFonts w:ascii="Times New Roman" w:hAnsi="Times New Roman" w:cs="Times New Roman"/>
          <w:sz w:val="28"/>
          <w:szCs w:val="28"/>
        </w:rPr>
        <w:t>Киржач Киржачского района</w:t>
      </w:r>
      <w:r w:rsidRPr="002C4A27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0B2AC5" w:rsidRPr="002C4A27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27">
        <w:rPr>
          <w:rFonts w:ascii="Times New Roman" w:hAnsi="Times New Roman" w:cs="Times New Roman"/>
          <w:sz w:val="28"/>
          <w:szCs w:val="28"/>
        </w:rPr>
        <w:t>1.2.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Владимирской области, положения настоящего Порядка не применяются.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жителей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о реализации мероприятий, имеющих приоритетное значение для жителей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0B2AC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>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8) указание на территорию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</w:t>
      </w:r>
      <w:hyperlink w:anchor="P60" w:history="1">
        <w:r w:rsidRPr="002C4A2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 w:rsidRPr="002C4A27">
        <w:rPr>
          <w:rFonts w:ascii="Times New Roman" w:hAnsi="Times New Roman" w:cs="Times New Roman"/>
          <w:sz w:val="28"/>
          <w:szCs w:val="28"/>
        </w:rPr>
        <w:t xml:space="preserve"> н</w:t>
      </w:r>
      <w:r w:rsidRPr="000B2AC5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B2AC5">
        <w:rPr>
          <w:rFonts w:ascii="Times New Roman" w:hAnsi="Times New Roman" w:cs="Times New Roman"/>
          <w:sz w:val="28"/>
          <w:szCs w:val="28"/>
        </w:rPr>
        <w:t>3. Определение территории, в интересах населения которой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могут реализовываться инициативные проекты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3.1. Инициативные проекты могут реализовываться в интересах населения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жителей следующих территорий: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группа жилых микрорайонов.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на части. В указанном случае инициативные проекты выдвигаются, обсуждаются и реализуются в пределах соответствующей части территории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проект, с описанием ее границ.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0B2AC5" w:rsidRPr="000B2AC5" w:rsidRDefault="002C4A27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B2AC5" w:rsidRPr="000B2AC5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в администрацию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3.6. Администрация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течение пятнадцати календарных дней со дня поступления заявления принимает решение: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уведомляет инициатора проекта в течение трех рабочих дней.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B2AC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 физических и юридических лиц, не являющихся инициаторами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аналогичный инициативный проект;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</w:t>
      </w:r>
      <w:hyperlink w:anchor="P80" w:history="1">
        <w:r w:rsidRPr="002C4A2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3.7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Порядка, администрация города </w:t>
      </w:r>
      <w:r w:rsidR="002C4A2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BB1D9E" w:rsidRDefault="000B2AC5" w:rsidP="00F401A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3.11. Решение администрации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B1D9E" w:rsidRPr="000B2AC5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4. Инициаторы проекта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0B2AC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 и трудовые коллективы организаций, осуществляющих свою деятельность на территории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0FC4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инициаторы проекта).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4.2. Лица, указанные в </w:t>
      </w:r>
      <w:hyperlink w:anchor="P93" w:history="1">
        <w:r w:rsidRPr="00270FC4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>1) готовят инициативный проект;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города;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5. Выявление мнения граждан по вопросу о поддержке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5.1. Инициативный проект должен быть поддержан населением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города </w:t>
      </w:r>
      <w:r w:rsidR="00270FC4">
        <w:rPr>
          <w:rFonts w:ascii="Times New Roman" w:hAnsi="Times New Roman" w:cs="Times New Roman"/>
          <w:sz w:val="28"/>
          <w:szCs w:val="28"/>
        </w:rPr>
        <w:t xml:space="preserve">Киржач </w:t>
      </w:r>
      <w:r w:rsidRPr="000B2AC5">
        <w:rPr>
          <w:rFonts w:ascii="Times New Roman" w:hAnsi="Times New Roman" w:cs="Times New Roman"/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5.3. Мнение граждан по вопросу поддержк</w:t>
      </w:r>
      <w:r w:rsidR="00270FC4">
        <w:rPr>
          <w:rFonts w:ascii="Times New Roman" w:hAnsi="Times New Roman" w:cs="Times New Roman"/>
          <w:sz w:val="28"/>
          <w:szCs w:val="28"/>
        </w:rPr>
        <w:t>и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инициативного проекта может быть выявлено путем опроса граждан, сбора их подписей.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0B2AC5">
        <w:rPr>
          <w:rFonts w:ascii="Times New Roman" w:hAnsi="Times New Roman" w:cs="Times New Roman"/>
          <w:sz w:val="28"/>
          <w:szCs w:val="28"/>
        </w:rPr>
        <w:t>6. Собрание граждан по вопросам выдвижения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(далее </w:t>
      </w:r>
      <w:r w:rsidR="00270FC4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собрание) назначается и проводится по решению инициатора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целом, может быть проведено несколько собраний на разных частях территории </w:t>
      </w:r>
      <w:r w:rsidR="00270FC4">
        <w:rPr>
          <w:rFonts w:ascii="Times New Roman" w:hAnsi="Times New Roman" w:cs="Times New Roman"/>
          <w:sz w:val="28"/>
          <w:szCs w:val="28"/>
        </w:rPr>
        <w:t>города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6.6. О проведении собрания (конференции) жители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быть проинформированы инициаторами проекта не менее чем за десять календарных дней до их проведения путем размещения соответствующей информации в средствах массовой информации и на официальном сайте администрации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70FC4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Интернет</w:t>
      </w:r>
      <w:r w:rsidR="00270FC4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6.7. Администрация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оказывает инициатору проекта содействие в проведение собрания, в том числе безвозмездно предоставляет помещения для его проведения.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6.8. Собрание считается правомочным при числе участников, составляющем более чем пятьдесят процентов от общего числа жителей соответствующей территории, достигших шестнадцатилетнего возраста.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7. Подготовка к проведению собрания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форма проведения собрания (очная или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>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3) повестка дня собрания, а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70FC4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вопросы, по которым планируется голосование жителей;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4) дата, время, место проведения собрания, а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270FC4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дата окончания приема решений жителей по вопросам, поставленным на голосовании,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6) способы информирования жителей территории, на которой проводится собрание, о его проведении.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7.2. Инициатор проекта направляет в администрацию города </w:t>
      </w:r>
      <w:r w:rsidR="00270FC4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десяти дней до дня его проведения.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об их месте жительства или пребывания, фамилия, имя, отчество председателя комитета территориального </w:t>
      </w:r>
      <w:r w:rsidR="00270FC4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0B2AC5">
        <w:rPr>
          <w:rFonts w:ascii="Times New Roman" w:hAnsi="Times New Roman" w:cs="Times New Roman"/>
          <w:sz w:val="28"/>
          <w:szCs w:val="28"/>
        </w:rPr>
        <w:t>самоуправления, наименование иного инициатора проекта и места его нахождения);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F9F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форме) и (или) об использовании специализированного сайта для голосования жителей по вопросам, поставленным на голосование.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7.5. При наличии просьбы о предоставлении помещения для проведения собрания администрация города </w:t>
      </w:r>
      <w:r w:rsidR="008D0F9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течение пяти дней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7.6. Администрация города </w:t>
      </w:r>
      <w:r w:rsidR="008D0F9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администрации города </w:t>
      </w:r>
      <w:r w:rsidR="008D0F9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D0F9F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Интернет</w:t>
      </w:r>
      <w:r w:rsidR="008D0F9F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>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в трехдневный срок со дня поступления уведомления о проведении собрания;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7.7. Администрация города </w:t>
      </w:r>
      <w:r w:rsidR="008D0F9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8. Порядок проведения собрания в очной форме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списка. Список граждан, принявших участие в собрании, является неотъемлемой частью протокола собрания.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8.5. Секретарь ведет протокол собрания, в котором отражаются все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>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сведения о председателе и секретаре собрания с указанием их места жительства;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повестка дня собрания, содержание выступлений;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принятые решения по вопросам повестки дня.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57"/>
      <w:bookmarkEnd w:id="6"/>
      <w:r w:rsidRPr="000B2AC5">
        <w:rPr>
          <w:rFonts w:ascii="Times New Roman" w:hAnsi="Times New Roman" w:cs="Times New Roman"/>
          <w:sz w:val="28"/>
          <w:szCs w:val="28"/>
        </w:rPr>
        <w:t xml:space="preserve">9. Порядок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9.1.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 очное обсуждение вопросов повестки дня и принятие решений по вопросам, поставленным на голосование, осуществляется в порядке, установленном для проведения собрания в очной форме.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9.2.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9.3. Принявшими участие в собрании, проводимом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9.4. В случае проведения собрания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</w:t>
      </w:r>
      <w:r w:rsidR="008D0F9F">
        <w:rPr>
          <w:rFonts w:ascii="Times New Roman" w:hAnsi="Times New Roman" w:cs="Times New Roman"/>
          <w:sz w:val="28"/>
          <w:szCs w:val="28"/>
        </w:rPr>
        <w:t>«ЗА»</w:t>
      </w:r>
      <w:r w:rsidRPr="000B2AC5">
        <w:rPr>
          <w:rFonts w:ascii="Times New Roman" w:hAnsi="Times New Roman" w:cs="Times New Roman"/>
          <w:sz w:val="28"/>
          <w:szCs w:val="28"/>
        </w:rPr>
        <w:t xml:space="preserve">, </w:t>
      </w:r>
      <w:r w:rsidR="008D0F9F">
        <w:rPr>
          <w:rFonts w:ascii="Times New Roman" w:hAnsi="Times New Roman" w:cs="Times New Roman"/>
          <w:sz w:val="28"/>
          <w:szCs w:val="28"/>
        </w:rPr>
        <w:t>«ПРОТИВ» или «ВОЗДЕРЖАЛСЯ»</w:t>
      </w:r>
      <w:r w:rsidRPr="000B2AC5">
        <w:rPr>
          <w:rFonts w:ascii="Times New Roman" w:hAnsi="Times New Roman" w:cs="Times New Roman"/>
          <w:sz w:val="28"/>
          <w:szCs w:val="28"/>
        </w:rPr>
        <w:t>,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Голосование проводится без перерыва с даты и времени его начала и до даты и времени его окончания.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9.6.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города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</w:t>
      </w:r>
      <w:hyperlink r:id="rId15" w:history="1">
        <w:r w:rsidRPr="008D0F9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8D0F9F">
        <w:rPr>
          <w:rFonts w:ascii="Times New Roman" w:hAnsi="Times New Roman" w:cs="Times New Roman"/>
          <w:sz w:val="28"/>
          <w:szCs w:val="28"/>
        </w:rPr>
        <w:t xml:space="preserve"> </w:t>
      </w:r>
      <w:r w:rsidRPr="000B2AC5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 w:rsidR="008D0F9F">
        <w:rPr>
          <w:rFonts w:ascii="Times New Roman" w:hAnsi="Times New Roman" w:cs="Times New Roman"/>
          <w:sz w:val="28"/>
          <w:szCs w:val="28"/>
        </w:rPr>
        <w:t>.07.</w:t>
      </w:r>
      <w:r w:rsidRPr="000B2AC5">
        <w:rPr>
          <w:rFonts w:ascii="Times New Roman" w:hAnsi="Times New Roman" w:cs="Times New Roman"/>
          <w:sz w:val="28"/>
          <w:szCs w:val="28"/>
        </w:rPr>
        <w:t xml:space="preserve">2006 </w:t>
      </w:r>
      <w:r w:rsidR="008D0F9F">
        <w:rPr>
          <w:rFonts w:ascii="Times New Roman" w:hAnsi="Times New Roman" w:cs="Times New Roman"/>
          <w:sz w:val="28"/>
          <w:szCs w:val="28"/>
        </w:rPr>
        <w:t>№</w:t>
      </w:r>
      <w:r w:rsidRPr="000B2AC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8D0F9F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D0F9F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9.8. После завершения голосования путем опроса или с использованием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сайта секретарь оформляет протокол собрания, который подписывает секретарь и председатель собрания.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9.9. В протоколе собрания, проводимого 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форме, указываются: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место и время проведения очного обсуждения;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способ заочного голосования, даты и время его начала и окончания;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число граждан, принявших участие в собрании;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сведения о председателе и секретаре собрания с указанием их места жительства;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повестка дня собрания, содержание выступлений на очном обсуждении;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6) принятые решения по вопросам повестки дня и результаты голосования по ним.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10. Проведение конференции граждан по вопросам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выдвижения инициативных проектов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10.1. В случае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если число жителей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</w:t>
      </w:r>
      <w:r w:rsidR="00BB28E8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конференция).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10.2. Конференция проводится в порядке, установленном </w:t>
      </w:r>
      <w:hyperlink w:anchor="P109" w:history="1">
        <w:r w:rsidRPr="00BB28E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6</w:t>
        </w:r>
      </w:hyperlink>
      <w:r w:rsidRPr="00BB28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7" w:history="1">
        <w:r w:rsidRPr="00BB28E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BB28E8">
        <w:rPr>
          <w:rFonts w:ascii="Times New Roman" w:hAnsi="Times New Roman" w:cs="Times New Roman"/>
          <w:sz w:val="28"/>
          <w:szCs w:val="28"/>
        </w:rPr>
        <w:t xml:space="preserve"> </w:t>
      </w:r>
      <w:r w:rsidRPr="000B2AC5">
        <w:rPr>
          <w:rFonts w:ascii="Times New Roman" w:hAnsi="Times New Roman" w:cs="Times New Roman"/>
          <w:sz w:val="28"/>
          <w:szCs w:val="28"/>
        </w:rPr>
        <w:t>настоящего Порядка с учетом особенностей, определенных настоящим разделом.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10.3. Выборы и выдвижение делегатов на конференцию проводятся на собраниях жителей группы квартир, подъездов, дома или группы домов либо в форме сбора подписей за кандидата в делегаты в петиционных </w:t>
      </w:r>
      <w:hyperlink w:anchor="P352" w:history="1">
        <w:r w:rsidRPr="00BB28E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листах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B28E8">
        <w:rPr>
          <w:rFonts w:ascii="Times New Roman" w:hAnsi="Times New Roman" w:cs="Times New Roman"/>
          <w:sz w:val="28"/>
          <w:szCs w:val="28"/>
        </w:rPr>
        <w:t xml:space="preserve">№ </w:t>
      </w:r>
      <w:r w:rsidRPr="000B2AC5">
        <w:rPr>
          <w:rFonts w:ascii="Times New Roman" w:hAnsi="Times New Roman" w:cs="Times New Roman"/>
          <w:sz w:val="28"/>
          <w:szCs w:val="28"/>
        </w:rPr>
        <w:t>1 к Порядку).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10.4. По инициативе жителей, от которых выдвигается делегат на конференцию в соответствии с установленной настоящим Порядком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10.5. Выборы делегатов считаются состоявшимися, если в голосовании приняли участие 2/3 жителей квартир, подъездов, дома или группы домов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 по сравнению с другими кандидатами.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10.6. В решении инициатора проекта о проведении конференции должны быть также указаны: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норма представительства для избрания делегатов, которая не может быть менее 1 делегата от 100 жителей территории, достигших шестнадцатилетнего возраста;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10.7. Неотъемлемой частью протокола конференции являются протоколы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>собраний об избрании делегатов.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11. Сбор подписей граждан в поддержку инициативных проектов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11.1. Сбор подписей граждан в поддержку инициативных проектов (далее </w:t>
      </w:r>
      <w:r w:rsidR="00BB28E8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сбор подписей) проводится инициатором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11.2. Число подписей в поддержку инициативного проекта, включая подписи членов инициативной группы, должно составлять не менее пятидесяти процентов от общего числа жителей соответствующей территории, достигших шестнадцатилетнего возраста.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11.3. Сбор подписей осуществляется в следующем порядке: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1) подписи собираются посредством их внесения в подписной </w:t>
      </w:r>
      <w:hyperlink w:anchor="P411" w:history="1">
        <w:r w:rsidRPr="00BB28E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лист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B28E8">
        <w:rPr>
          <w:rFonts w:ascii="Times New Roman" w:hAnsi="Times New Roman" w:cs="Times New Roman"/>
          <w:sz w:val="28"/>
          <w:szCs w:val="28"/>
        </w:rPr>
        <w:t xml:space="preserve">№ </w:t>
      </w:r>
      <w:r w:rsidRPr="000B2AC5">
        <w:rPr>
          <w:rFonts w:ascii="Times New Roman" w:hAnsi="Times New Roman" w:cs="Times New Roman"/>
          <w:sz w:val="28"/>
          <w:szCs w:val="28"/>
        </w:rPr>
        <w:t>2 к Порядку);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6" w:history="1">
        <w:r w:rsidRPr="00BB28E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BB28E8">
        <w:rPr>
          <w:rFonts w:ascii="Times New Roman" w:hAnsi="Times New Roman" w:cs="Times New Roman"/>
          <w:sz w:val="28"/>
          <w:szCs w:val="28"/>
        </w:rPr>
        <w:t>.07.</w:t>
      </w:r>
      <w:r w:rsidRPr="000B2AC5">
        <w:rPr>
          <w:rFonts w:ascii="Times New Roman" w:hAnsi="Times New Roman" w:cs="Times New Roman"/>
          <w:sz w:val="28"/>
          <w:szCs w:val="28"/>
        </w:rPr>
        <w:t xml:space="preserve">2006 </w:t>
      </w:r>
      <w:r w:rsidR="00BB28E8">
        <w:rPr>
          <w:rFonts w:ascii="Times New Roman" w:hAnsi="Times New Roman" w:cs="Times New Roman"/>
          <w:sz w:val="28"/>
          <w:szCs w:val="28"/>
        </w:rPr>
        <w:t>№</w:t>
      </w:r>
      <w:r w:rsidRPr="000B2AC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B28E8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B28E8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12. Проведение опроса граждан для выявления их мнения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 поддержке данного инициативного проекта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12.1. Опрос граждан для выявления их мнения о поддержке данного инициативного проекта (далее </w:t>
      </w:r>
      <w:r w:rsidR="00BB28E8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опрос) проводится по инициативе жителей муниципального образования или части, в которых предлагается реализовать инициативный проект, в следующих случаях: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>1) инициативный проект предлагается реализовывать в интересах населения муниципального образования</w:t>
      </w:r>
      <w:r w:rsidR="00BB28E8">
        <w:rPr>
          <w:rFonts w:ascii="Times New Roman" w:hAnsi="Times New Roman" w:cs="Times New Roman"/>
          <w:sz w:val="28"/>
          <w:szCs w:val="28"/>
        </w:rPr>
        <w:t xml:space="preserve"> город 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инициативный проект предлагается реализовать в интересах жителей части муниципального образования, численность которых превышает 1000 человек.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12.2. Для назначения опроса инициатор проекта направляет в Совет народных депутатов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заявление, в котором указываются: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инициативный проект, в отношении которого предлагается провести опрос;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предложения инициатора проекта: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а) о дате и сроках проведения опроса;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AC5">
        <w:rPr>
          <w:rFonts w:ascii="Times New Roman" w:hAnsi="Times New Roman" w:cs="Times New Roman"/>
          <w:sz w:val="28"/>
          <w:szCs w:val="28"/>
        </w:rPr>
        <w:t>б) о формулировке вопроса (вопросов), предлагаемого (предполагаемых) при проведении опроса;</w:t>
      </w:r>
      <w:proofErr w:type="gramEnd"/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в) о методике проведения опроса;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г) о минимальной численности жителей муниципального образования, участвующих в опросе;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сведения об инициаторе проекта (фамилия, имена, отчество членов инициативной группы, сведения об их месте жительства или пребывания, наименование иного инициатора проекта мероприятия и место их нахождения).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</w:t>
      </w:r>
      <w:hyperlink w:anchor="P93" w:history="1">
        <w:r w:rsidRPr="00BB28E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подписывается уполномоченным лицом инициатора проекта и не менее чем 10 жителями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нахождения).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12.4. Совет народных депутатов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не позднее тридцати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Основанием отказа в назначении опроса является нарушение установленного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, участвующих в выдвижении инициативы.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12.5. Опрос граждан по вопросам выдвижения инициативных проектов проводится в порядке, установленном Положением о порядке назначения и проведения опроса граждан на территории муниципального образования город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12.6. В опросе вправе участвовать жители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12.7. Результаты опроса Совет народных депутатов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доводит до сведения инициатора проекта не позднее пяти дней со дня передачи в Совет народных депутатов города </w:t>
      </w:r>
      <w:r w:rsidR="00BB28E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протокола (протоколов) о результатах опроса комиссией по проведению опроса.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>13. Внесение инициативных проектов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5"/>
      <w:bookmarkEnd w:id="7"/>
      <w:r w:rsidRPr="000B2AC5">
        <w:rPr>
          <w:rFonts w:ascii="Times New Roman" w:hAnsi="Times New Roman" w:cs="Times New Roman"/>
          <w:sz w:val="28"/>
          <w:szCs w:val="28"/>
        </w:rPr>
        <w:t xml:space="preserve">13.1. При внесении инициативного проекта в администрацию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3) протокол собрания или конференции граждан, протокол о результатах опроса и (или) подписные листы, подтверждающие поддержку инициативного проекта жителями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13.2. Документы, указанные в пункте 13.1, представляются в администрацию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непосредственно лицом, уполномоченным инициатором проекта взаимодействовать с администрацией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13.3. Датой внесения проекта является день получения документов, указанных в </w:t>
      </w:r>
      <w:hyperlink w:anchor="P225" w:history="1">
        <w:r w:rsidRPr="00126263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13.1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настоящего раздела, администрацией города </w:t>
      </w:r>
      <w:r w:rsidR="00126263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232"/>
      <w:bookmarkEnd w:id="8"/>
      <w:r w:rsidRPr="000B2AC5">
        <w:rPr>
          <w:rFonts w:ascii="Times New Roman" w:hAnsi="Times New Roman" w:cs="Times New Roman"/>
          <w:sz w:val="28"/>
          <w:szCs w:val="28"/>
        </w:rPr>
        <w:t>14. Комиссия по рассмотрению инициативных проектов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14.1. Комиссия по рассмотрению инициативных проектов (далее </w:t>
      </w:r>
      <w:proofErr w:type="gramStart"/>
      <w:r w:rsidR="00F14A58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>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14.2. Персональный состав комиссии определяется постановлением администрации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14.4. Председатель комиссии: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14.5. Заместитель председателя комиссии исполняет обязанности председателя комиссии в случае его временного отсутствия.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14.6. Секретарь комиссии: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14.7. Член комиссии: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14.8. Основной формой работы комиссии являются заседания.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14.9. Заседание комиссии считается правомочным при условии присутствия на нем не менее половины ее членов.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14.10.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14.11. Обсуждение проекта и принятие комиссией решений производится без участия инициатора проекта и иных лиц.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14.13. Члены комиссии обладают равными правами при обсуждении вопросов о принятии решений.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14.15.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14.16. Секретарь комиссии не позднее одного рабочего дня, следующего за днем подписания протокола заседания комиссии, направляет его главе администрации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14.17. Организационно-техническое обеспечение деятельности комиссии осуществляет администрация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15. Порядок рассмотрения инициативного проекта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15.1. Инициативный проект рассматривается администрацией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его внесения.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и размещению на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4A58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Интернет</w:t>
      </w:r>
      <w:r w:rsidR="00F14A58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города </w:t>
      </w:r>
      <w:r w:rsidR="00F14A58">
        <w:rPr>
          <w:rFonts w:ascii="Times New Roman" w:hAnsi="Times New Roman" w:cs="Times New Roman"/>
          <w:sz w:val="28"/>
          <w:szCs w:val="28"/>
        </w:rPr>
        <w:t xml:space="preserve">Киржач </w:t>
      </w:r>
      <w:r w:rsidRPr="000B2AC5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hyperlink w:anchor="P47" w:history="1">
        <w:r w:rsidRPr="00F14A5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 инициаторах проекта.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 Замечания и предложения представ</w:t>
      </w:r>
      <w:r w:rsidR="00F14A58">
        <w:rPr>
          <w:rFonts w:ascii="Times New Roman" w:hAnsi="Times New Roman" w:cs="Times New Roman"/>
          <w:sz w:val="28"/>
          <w:szCs w:val="28"/>
        </w:rPr>
        <w:t>ляются в администрацию города 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жителем непосредственно или направляются почтовым отправлением.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15.4. Обобщение замечаний и предложений по инициативному проекту осуществляет комиссия.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15.5. По результатам рассмотрения инициативного проекта комиссия рекомендует главе администрации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</w:t>
      </w:r>
      <w:hyperlink w:anchor="P274" w:history="1">
        <w:r w:rsidRPr="00F14A5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15.7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настоящего Порядка. В решении комиссии могут также содержаться рекомендации по доработке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если в администрацию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города </w:t>
      </w:r>
      <w:r w:rsidR="00F14A5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организовать проведение конкурсного отбора.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15.6. Конкурсный отбор инициативных проектов организуется в соответствии с </w:t>
      </w:r>
      <w:hyperlink w:anchor="P288" w:history="1">
        <w:r w:rsidRPr="00F14A5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16</w:t>
        </w:r>
      </w:hyperlink>
      <w:r w:rsidRPr="00F14A58">
        <w:rPr>
          <w:rFonts w:ascii="Times New Roman" w:hAnsi="Times New Roman" w:cs="Times New Roman"/>
          <w:sz w:val="28"/>
          <w:szCs w:val="28"/>
        </w:rPr>
        <w:t xml:space="preserve"> </w:t>
      </w:r>
      <w:r w:rsidRPr="000B2AC5">
        <w:rPr>
          <w:rFonts w:ascii="Times New Roman" w:hAnsi="Times New Roman" w:cs="Times New Roman"/>
          <w:sz w:val="28"/>
          <w:szCs w:val="28"/>
        </w:rPr>
        <w:t>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4"/>
      <w:bookmarkEnd w:id="9"/>
      <w:r w:rsidRPr="000B2AC5">
        <w:rPr>
          <w:rFonts w:ascii="Times New Roman" w:hAnsi="Times New Roman" w:cs="Times New Roman"/>
          <w:sz w:val="28"/>
          <w:szCs w:val="28"/>
        </w:rPr>
        <w:t xml:space="preserve">15.7. С учетом рекомендации комиссии или по результатам конкурсного отбора глава </w:t>
      </w:r>
      <w:r w:rsidR="008D18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2AC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D1887">
        <w:rPr>
          <w:rFonts w:ascii="Times New Roman" w:hAnsi="Times New Roman" w:cs="Times New Roman"/>
          <w:sz w:val="28"/>
          <w:szCs w:val="28"/>
        </w:rPr>
        <w:t xml:space="preserve">Киржач </w:t>
      </w:r>
      <w:r w:rsidRPr="000B2AC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города </w:t>
      </w:r>
      <w:r w:rsidR="008D188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на соответствующие цели, и (или) в соответствии с порядком составления и рассмотрения проекта бюджета города </w:t>
      </w:r>
      <w:r w:rsidR="008D188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(внесения изменений в решение о бюджете города </w:t>
      </w:r>
      <w:r w:rsidR="008D188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отказать в поддержке инициативного проекта и вернуть его инициаторам проекта с указанием причин отказа в </w:t>
      </w:r>
      <w:r w:rsidR="008D1887">
        <w:rPr>
          <w:rFonts w:ascii="Times New Roman" w:hAnsi="Times New Roman" w:cs="Times New Roman"/>
          <w:sz w:val="28"/>
          <w:szCs w:val="28"/>
        </w:rPr>
        <w:t>поддержке инициативного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15.8. Глава </w:t>
      </w:r>
      <w:r w:rsidR="008D18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2AC5">
        <w:rPr>
          <w:rFonts w:ascii="Times New Roman" w:hAnsi="Times New Roman" w:cs="Times New Roman"/>
          <w:sz w:val="28"/>
          <w:szCs w:val="28"/>
        </w:rPr>
        <w:t>города принимает решение об отказе в поддержке инициативного проекта в одном из следующих случаев: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</w:t>
      </w:r>
      <w:hyperlink r:id="rId17" w:history="1">
        <w:r w:rsidRPr="008D188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 w:rsidRPr="008D1887">
        <w:rPr>
          <w:rFonts w:ascii="Times New Roman" w:hAnsi="Times New Roman" w:cs="Times New Roman"/>
          <w:sz w:val="28"/>
          <w:szCs w:val="28"/>
        </w:rPr>
        <w:t xml:space="preserve"> </w:t>
      </w:r>
      <w:r w:rsidRPr="000B2AC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D1887">
        <w:rPr>
          <w:rFonts w:ascii="Times New Roman" w:hAnsi="Times New Roman" w:cs="Times New Roman"/>
          <w:sz w:val="28"/>
          <w:szCs w:val="28"/>
        </w:rPr>
        <w:t>Киржач Киржачского района</w:t>
      </w:r>
      <w:r w:rsidRPr="000B2AC5">
        <w:rPr>
          <w:rFonts w:ascii="Times New Roman" w:hAnsi="Times New Roman" w:cs="Times New Roman"/>
          <w:sz w:val="28"/>
          <w:szCs w:val="28"/>
        </w:rPr>
        <w:t>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средств бюджета города </w:t>
      </w:r>
      <w:r w:rsidR="008D1887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3"/>
      <w:bookmarkEnd w:id="10"/>
      <w:r w:rsidRPr="000B2AC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15.9. Решение по результатам рассмотрения проекта направляется инициатору проекта не позднее трех дней после дня его принятия.</w:t>
      </w:r>
    </w:p>
    <w:p w:rsidR="000B2AC5" w:rsidRPr="00D840FF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15.10. Администрация города </w:t>
      </w:r>
      <w:r w:rsidR="00C23D0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283" w:history="1">
        <w:r w:rsidRPr="00C23D08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5 пункта 15.8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 города </w:t>
      </w:r>
      <w:r w:rsidR="00C23D08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32" w:history="1">
        <w:r w:rsidRPr="00D840F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14</w:t>
        </w:r>
      </w:hyperlink>
      <w:r w:rsidRPr="00D840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88"/>
      <w:bookmarkEnd w:id="11"/>
      <w:r w:rsidRPr="000B2AC5">
        <w:rPr>
          <w:rFonts w:ascii="Times New Roman" w:hAnsi="Times New Roman" w:cs="Times New Roman"/>
          <w:sz w:val="28"/>
          <w:szCs w:val="28"/>
        </w:rPr>
        <w:t>16. Конкурсный отбор инициативных проектов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16.1. Конкурсный отбор инициативных проектов осуществляется конкурсной комиссией с учетом следующих критериев: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социальная эффективность реализации инициативного проекта: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а) доля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(или его части);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б) степень участия населения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идентификации проблемы в процессе ее предварительного рассмотрения (согласно протоколам собраний граждан, конференциям (собраниям делегатов)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или его части, результатам соответствующего опроса и т.д.);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в) направленность и доступность инициативного проекта для людей с ограниченными возможностями;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2) экономическая эффективность реализации инициативного проекта: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а) уровень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со стороны физических и (или) юридических</w:t>
      </w:r>
      <w:r w:rsidR="00D840FF">
        <w:rPr>
          <w:rFonts w:ascii="Times New Roman" w:hAnsi="Times New Roman" w:cs="Times New Roman"/>
          <w:sz w:val="28"/>
          <w:szCs w:val="28"/>
        </w:rPr>
        <w:t xml:space="preserve"> лиц</w:t>
      </w:r>
      <w:r w:rsidRPr="000B2AC5">
        <w:rPr>
          <w:rFonts w:ascii="Times New Roman" w:hAnsi="Times New Roman" w:cs="Times New Roman"/>
          <w:sz w:val="28"/>
          <w:szCs w:val="28"/>
        </w:rPr>
        <w:t xml:space="preserve">, вносимых в целях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б) вклад в реализацию инициативного проекта со стороны физических и (или) юридических </w:t>
      </w:r>
      <w:r w:rsidR="00D840FF">
        <w:rPr>
          <w:rFonts w:ascii="Times New Roman" w:hAnsi="Times New Roman" w:cs="Times New Roman"/>
          <w:sz w:val="28"/>
          <w:szCs w:val="28"/>
        </w:rPr>
        <w:t xml:space="preserve">лиц </w:t>
      </w:r>
      <w:r w:rsidRPr="000B2A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3) наличие технической документации, позволяющей определить стоимость и возможность реализации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4) наличие права собственности муниципального образования город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на объекты (включая земельные участки, на которых расположены такие объекты либо планируется их размещение), строительство, реконструкцию, капитальный или текущий ремонт которых планируется осуществить в рамках реализации инициативных проектов;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наличие мероприятий по содержанию и обслуживанию создаваемых объектов за счет инициаторов проектов.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16.2. </w:t>
      </w:r>
      <w:hyperlink w:anchor="P474" w:history="1">
        <w:r w:rsidRPr="00D840F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Критерии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конкурсного отбора, их значения, соответствующие им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баллы и весовые коэффициенты установлены в приложении </w:t>
      </w:r>
      <w:r w:rsidR="00D840FF">
        <w:rPr>
          <w:rFonts w:ascii="Times New Roman" w:hAnsi="Times New Roman" w:cs="Times New Roman"/>
          <w:sz w:val="28"/>
          <w:szCs w:val="28"/>
        </w:rPr>
        <w:t xml:space="preserve">№ </w:t>
      </w:r>
      <w:r w:rsidRPr="000B2AC5">
        <w:rPr>
          <w:rFonts w:ascii="Times New Roman" w:hAnsi="Times New Roman" w:cs="Times New Roman"/>
          <w:sz w:val="28"/>
          <w:szCs w:val="28"/>
        </w:rPr>
        <w:t xml:space="preserve">3 к Порядку (далее </w:t>
      </w:r>
      <w:r w:rsidR="00D840FF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критерии).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16.3. Конкурсный отбор осуществляется на заседании комиссии.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16.4.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16.5. Оценка инициативного проекта осуществляется отдельно по каждому инициативному проекту.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16.6. Оценка инициативного проекта по каждому критерию определяется в баллах.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16.7. Прошедшим конкурсный отбор объявляется инициативный проект, получивший максимальный суммарный балл по всем критериям.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16.8. По итогам конкурсного отбора с учетом итоговой оценки согласно критериям, комиссия принимает решение об объявлении инициативных проектов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17. Порядок реализации инициативного проекта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17.1. Источником финансового обеспечения реализации инициативных проектов, предусмотренных </w:t>
      </w:r>
      <w:hyperlink r:id="rId18" w:history="1">
        <w:r w:rsidRPr="00D840F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26.1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40FF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40FF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Владимирской области, предоставленных в целях финансового обеспечения соответствующих расходных обязательств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17.2.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9" w:history="1">
        <w:r w:rsidR="00D840F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D840FF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одексом</w:t>
        </w:r>
      </w:hyperlink>
      <w:r w:rsidRPr="000B2AC5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17.3. Инициативные платежи перечисляются в доход бюджета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заключенного с администрацией города</w:t>
      </w:r>
      <w:r w:rsidR="00D840FF">
        <w:rPr>
          <w:rFonts w:ascii="Times New Roman" w:hAnsi="Times New Roman" w:cs="Times New Roman"/>
          <w:sz w:val="28"/>
          <w:szCs w:val="28"/>
        </w:rPr>
        <w:t xml:space="preserve"> 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. В случае имущественного или трудового участия инициатор заключает с администрацией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17.4. Учет инициативных платежей осуществляется отдельно по каждому проекту.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17.6. О реализации инициативного проекта издается постановление администрации города </w:t>
      </w:r>
      <w:r w:rsidR="00D840FF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17.7. Постановление о реализации инициативного проекта должно </w:t>
      </w:r>
      <w:r w:rsidRPr="000B2AC5">
        <w:rPr>
          <w:rFonts w:ascii="Times New Roman" w:hAnsi="Times New Roman" w:cs="Times New Roman"/>
          <w:sz w:val="28"/>
          <w:szCs w:val="28"/>
        </w:rPr>
        <w:lastRenderedPageBreak/>
        <w:t>содержать: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18. Порядок расчета и возврата сумм инициативных платежей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18.1. В случае</w:t>
      </w:r>
      <w:proofErr w:type="gramStart"/>
      <w:r w:rsidRPr="000B2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AC5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3CBC">
        <w:rPr>
          <w:rFonts w:ascii="Times New Roman" w:hAnsi="Times New Roman" w:cs="Times New Roman"/>
          <w:sz w:val="28"/>
          <w:szCs w:val="28"/>
        </w:rPr>
        <w:t>–</w:t>
      </w:r>
      <w:r w:rsidRPr="000B2AC5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18.2.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B2A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B2AC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18.3. Инициаторы проекта предоставляют заявление на возврат денежных средств с указанием банковских реквизитов в администрацию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целях возврата инициативных платежей.</w:t>
      </w:r>
    </w:p>
    <w:p w:rsidR="000B2AC5" w:rsidRPr="000B2AC5" w:rsidRDefault="000B2AC5" w:rsidP="00BB1D9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18.4. Администрация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осуществляет возврат денежных средств.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19. Порядок опубликования и размещения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273CBC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Интернет</w:t>
      </w:r>
      <w:r w:rsidR="00273CBC">
        <w:rPr>
          <w:rFonts w:ascii="Times New Roman" w:hAnsi="Times New Roman" w:cs="Times New Roman"/>
          <w:sz w:val="28"/>
          <w:szCs w:val="28"/>
        </w:rPr>
        <w:t>»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информации об инициативном проекте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BB1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19.1. Информация о рассмотрении инициативного проекта администрацией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официальному опубликованию и размещению на официальном сайте администрации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73CBC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Интернет</w:t>
      </w:r>
      <w:r w:rsidR="00273CBC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>.</w:t>
      </w:r>
    </w:p>
    <w:p w:rsidR="000B2AC5" w:rsidRPr="000B2AC5" w:rsidRDefault="000B2AC5" w:rsidP="00BB1D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19.2. Отчет администрации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официальному опубликованию и размещению на официальном сайте администрации города </w:t>
      </w:r>
      <w:r w:rsidR="00273CBC">
        <w:rPr>
          <w:rFonts w:ascii="Times New Roman" w:hAnsi="Times New Roman" w:cs="Times New Roman"/>
          <w:sz w:val="28"/>
          <w:szCs w:val="28"/>
        </w:rPr>
        <w:t>Киржач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73CBC">
        <w:rPr>
          <w:rFonts w:ascii="Times New Roman" w:hAnsi="Times New Roman" w:cs="Times New Roman"/>
          <w:sz w:val="28"/>
          <w:szCs w:val="28"/>
        </w:rPr>
        <w:t>«</w:t>
      </w:r>
      <w:r w:rsidRPr="000B2AC5">
        <w:rPr>
          <w:rFonts w:ascii="Times New Roman" w:hAnsi="Times New Roman" w:cs="Times New Roman"/>
          <w:sz w:val="28"/>
          <w:szCs w:val="28"/>
        </w:rPr>
        <w:t>Интернет</w:t>
      </w:r>
      <w:r w:rsidR="00273CBC">
        <w:rPr>
          <w:rFonts w:ascii="Times New Roman" w:hAnsi="Times New Roman" w:cs="Times New Roman"/>
          <w:sz w:val="28"/>
          <w:szCs w:val="28"/>
        </w:rPr>
        <w:t>»</w:t>
      </w:r>
      <w:r w:rsidRPr="000B2AC5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завершения реализации инициативного проекта.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Pr="000B2AC5" w:rsidRDefault="00BB1D9E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73CBC">
        <w:rPr>
          <w:rFonts w:ascii="Times New Roman" w:hAnsi="Times New Roman" w:cs="Times New Roman"/>
          <w:sz w:val="28"/>
          <w:szCs w:val="28"/>
        </w:rPr>
        <w:t xml:space="preserve"> №</w:t>
      </w:r>
      <w:r w:rsidRPr="000B2AC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к Порядку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</w:t>
      </w:r>
      <w:r w:rsidR="00273CBC">
        <w:rPr>
          <w:rFonts w:ascii="Times New Roman" w:hAnsi="Times New Roman" w:cs="Times New Roman"/>
          <w:sz w:val="28"/>
          <w:szCs w:val="28"/>
        </w:rPr>
        <w:t>Киржач Киржачского района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14"/>
        <w:gridCol w:w="433"/>
        <w:gridCol w:w="814"/>
        <w:gridCol w:w="1330"/>
        <w:gridCol w:w="372"/>
        <w:gridCol w:w="188"/>
        <w:gridCol w:w="1404"/>
        <w:gridCol w:w="392"/>
        <w:gridCol w:w="520"/>
        <w:gridCol w:w="1247"/>
      </w:tblGrid>
      <w:tr w:rsidR="000B2AC5" w:rsidRPr="000B2AC5" w:rsidTr="00BB1D9E">
        <w:trPr>
          <w:trHeight w:val="341"/>
        </w:trPr>
        <w:tc>
          <w:tcPr>
            <w:tcW w:w="9054" w:type="dxa"/>
            <w:gridSpan w:val="11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52"/>
            <w:bookmarkEnd w:id="12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ПЕТИЦИОННЫЙ ЛИСТ</w:t>
            </w: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0B2AC5" w:rsidRPr="000B2AC5" w:rsidTr="000B2AC5">
        <w:tc>
          <w:tcPr>
            <w:tcW w:w="9054" w:type="dxa"/>
            <w:gridSpan w:val="11"/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(Ф.И.О., адрес делегата)</w:t>
            </w:r>
          </w:p>
        </w:tc>
      </w:tr>
      <w:tr w:rsidR="000B2AC5" w:rsidRPr="000B2AC5" w:rsidTr="000B2AC5">
        <w:tc>
          <w:tcPr>
            <w:tcW w:w="9054" w:type="dxa"/>
            <w:gridSpan w:val="11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6895" w:type="dxa"/>
            <w:gridSpan w:val="8"/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 жителей по вопросу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(формулировка вопроса)</w:t>
            </w: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273CBC" w:rsidTr="000B2A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273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Дата, подпись</w:t>
            </w: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4931" w:type="dxa"/>
            <w:gridSpan w:val="5"/>
            <w:hideMark/>
          </w:tcPr>
          <w:p w:rsidR="000B2AC5" w:rsidRPr="000B2AC5" w:rsidRDefault="000B2AC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Петиционный лист удостоверяю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0B2AC5" w:rsidRPr="000B2AC5" w:rsidTr="000B2AC5">
        <w:tc>
          <w:tcPr>
            <w:tcW w:w="9054" w:type="dxa"/>
            <w:gridSpan w:val="11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2787" w:type="dxa"/>
            <w:gridSpan w:val="3"/>
            <w:hideMark/>
          </w:tcPr>
          <w:p w:rsidR="000B2AC5" w:rsidRPr="000B2AC5" w:rsidRDefault="000B2AC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267" w:type="dxa"/>
            <w:gridSpan w:val="8"/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2AC5" w:rsidRPr="000B2AC5" w:rsidTr="000B2AC5">
        <w:tc>
          <w:tcPr>
            <w:tcW w:w="9054" w:type="dxa"/>
            <w:gridSpan w:val="11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5491" w:type="dxa"/>
            <w:gridSpan w:val="7"/>
            <w:hideMark/>
          </w:tcPr>
          <w:p w:rsidR="000B2AC5" w:rsidRPr="000B2AC5" w:rsidRDefault="000B2AC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инициативной группы</w:t>
            </w: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инициативной группы)</w:t>
            </w:r>
          </w:p>
        </w:tc>
      </w:tr>
      <w:tr w:rsidR="000B2AC5" w:rsidRPr="000B2AC5" w:rsidTr="00273CBC">
        <w:tc>
          <w:tcPr>
            <w:tcW w:w="54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BC" w:rsidRPr="000B2AC5" w:rsidRDefault="00273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273CBC">
        <w:tc>
          <w:tcPr>
            <w:tcW w:w="54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2AC5" w:rsidRPr="000B2AC5" w:rsidRDefault="00273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7" w:type="dxa"/>
            <w:gridSpan w:val="2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B2AC5" w:rsidRPr="000B2AC5" w:rsidRDefault="00273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  <w:gridSpan w:val="3"/>
            <w:hideMark/>
          </w:tcPr>
          <w:p w:rsidR="000B2AC5" w:rsidRPr="000B2AC5" w:rsidRDefault="00273CBC" w:rsidP="00273CB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2AC5" w:rsidRPr="000B2A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67" w:type="dxa"/>
            <w:gridSpan w:val="2"/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BC" w:rsidRDefault="00273CBC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767" w:rsidRDefault="00394767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767" w:rsidRDefault="00394767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767" w:rsidRDefault="00394767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1D9E" w:rsidRDefault="00BB1D9E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3CBC">
        <w:rPr>
          <w:rFonts w:ascii="Times New Roman" w:hAnsi="Times New Roman" w:cs="Times New Roman"/>
          <w:sz w:val="28"/>
          <w:szCs w:val="28"/>
        </w:rPr>
        <w:t xml:space="preserve">№ </w:t>
      </w:r>
      <w:r w:rsidRPr="000B2AC5">
        <w:rPr>
          <w:rFonts w:ascii="Times New Roman" w:hAnsi="Times New Roman" w:cs="Times New Roman"/>
          <w:sz w:val="28"/>
          <w:szCs w:val="28"/>
        </w:rPr>
        <w:t>2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к Порядку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</w:t>
      </w:r>
      <w:r w:rsidR="00273CBC">
        <w:rPr>
          <w:rFonts w:ascii="Times New Roman" w:hAnsi="Times New Roman" w:cs="Times New Roman"/>
          <w:sz w:val="28"/>
          <w:szCs w:val="28"/>
        </w:rPr>
        <w:t>Киржач Киржачского района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24"/>
        <w:gridCol w:w="1701"/>
        <w:gridCol w:w="1215"/>
        <w:gridCol w:w="792"/>
        <w:gridCol w:w="624"/>
        <w:gridCol w:w="1695"/>
        <w:gridCol w:w="850"/>
        <w:gridCol w:w="1247"/>
      </w:tblGrid>
      <w:tr w:rsidR="000B2AC5" w:rsidRPr="000B2AC5" w:rsidTr="000B2AC5">
        <w:tc>
          <w:tcPr>
            <w:tcW w:w="9058" w:type="dxa"/>
            <w:gridSpan w:val="9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11"/>
            <w:bookmarkEnd w:id="13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ПОДПИСНОЙ ЛИСТ</w:t>
            </w:r>
          </w:p>
        </w:tc>
      </w:tr>
      <w:tr w:rsidR="000B2AC5" w:rsidRPr="000B2AC5" w:rsidTr="000B2AC5">
        <w:tc>
          <w:tcPr>
            <w:tcW w:w="9058" w:type="dxa"/>
            <w:gridSpan w:val="9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8" w:type="dxa"/>
            <w:gridSpan w:val="9"/>
            <w:hideMark/>
          </w:tcPr>
          <w:p w:rsidR="000B2AC5" w:rsidRPr="000B2AC5" w:rsidRDefault="000B2AC5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</w:t>
            </w:r>
          </w:p>
        </w:tc>
      </w:tr>
      <w:tr w:rsidR="000B2AC5" w:rsidRPr="000B2AC5" w:rsidTr="000B2AC5">
        <w:tc>
          <w:tcPr>
            <w:tcW w:w="9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BC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</w:tc>
      </w:tr>
      <w:tr w:rsidR="000B2AC5" w:rsidRPr="000B2AC5" w:rsidTr="000B2AC5">
        <w:tc>
          <w:tcPr>
            <w:tcW w:w="4642" w:type="dxa"/>
            <w:gridSpan w:val="5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273CBC" w:rsidTr="000B2A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273C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273CBC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CBC">
              <w:rPr>
                <w:rFonts w:ascii="Times New Roman" w:hAnsi="Times New Roman" w:cs="Times New Roman"/>
                <w:sz w:val="26"/>
                <w:szCs w:val="26"/>
              </w:rPr>
              <w:t>Дата, подпись</w:t>
            </w:r>
          </w:p>
        </w:tc>
      </w:tr>
      <w:tr w:rsidR="000B2AC5" w:rsidRPr="000B2AC5" w:rsidTr="000B2AC5"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B765E6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8"/>
            <w:hideMark/>
          </w:tcPr>
          <w:p w:rsidR="000B2AC5" w:rsidRDefault="000B2A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  <w:p w:rsidR="00B765E6" w:rsidRPr="000B2AC5" w:rsidRDefault="00B765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B765E6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4" w:type="dxa"/>
            <w:gridSpan w:val="7"/>
          </w:tcPr>
          <w:p w:rsidR="000B2AC5" w:rsidRPr="000B2AC5" w:rsidRDefault="00B7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  <w:tr w:rsidR="000B2AC5" w:rsidRPr="000B2AC5" w:rsidTr="00B765E6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hideMark/>
          </w:tcPr>
          <w:p w:rsidR="000B2AC5" w:rsidRPr="00B765E6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0B2AC5" w:rsidRPr="00B765E6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личность, подпись и дата подписи)</w:t>
            </w:r>
          </w:p>
        </w:tc>
      </w:tr>
      <w:tr w:rsidR="000B2AC5" w:rsidRPr="000B2AC5" w:rsidTr="00B765E6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4" w:type="dxa"/>
            <w:gridSpan w:val="7"/>
          </w:tcPr>
          <w:p w:rsidR="000B2AC5" w:rsidRPr="000B2AC5" w:rsidRDefault="00B7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  <w:tr w:rsidR="000B2AC5" w:rsidRPr="000B2AC5" w:rsidTr="00B765E6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hideMark/>
          </w:tcPr>
          <w:p w:rsidR="000B2AC5" w:rsidRPr="00B765E6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0B2AC5" w:rsidRPr="00B765E6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личность, подпись и дата подписи)</w:t>
            </w:r>
          </w:p>
        </w:tc>
      </w:tr>
      <w:tr w:rsidR="00B765E6" w:rsidRPr="000B2AC5" w:rsidTr="00B765E6">
        <w:tc>
          <w:tcPr>
            <w:tcW w:w="510" w:type="dxa"/>
          </w:tcPr>
          <w:p w:rsidR="00B765E6" w:rsidRPr="000B2AC5" w:rsidRDefault="00B7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B1D9E" w:rsidRDefault="00BB1D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5E6" w:rsidRPr="000B2AC5" w:rsidRDefault="00B7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4" w:type="dxa"/>
            <w:gridSpan w:val="7"/>
            <w:hideMark/>
          </w:tcPr>
          <w:p w:rsidR="00BB1D9E" w:rsidRDefault="00BB1D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E6" w:rsidRPr="00B765E6" w:rsidRDefault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B765E6" w:rsidRPr="000B2AC5" w:rsidTr="00B765E6">
        <w:tc>
          <w:tcPr>
            <w:tcW w:w="510" w:type="dxa"/>
          </w:tcPr>
          <w:p w:rsidR="00B765E6" w:rsidRPr="000B2AC5" w:rsidRDefault="00B7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B765E6" w:rsidRPr="000B2AC5" w:rsidRDefault="00B76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4" w:type="dxa"/>
            <w:gridSpan w:val="7"/>
            <w:hideMark/>
          </w:tcPr>
          <w:p w:rsidR="00B765E6" w:rsidRPr="00B765E6" w:rsidRDefault="00B765E6" w:rsidP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B765E6" w:rsidRPr="00B765E6" w:rsidRDefault="00B765E6" w:rsidP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B765E6" w:rsidRPr="00B765E6" w:rsidRDefault="00B765E6" w:rsidP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личность, подпись и дата подписи)</w:t>
            </w:r>
          </w:p>
        </w:tc>
      </w:tr>
      <w:tr w:rsidR="000B2AC5" w:rsidRPr="000B2AC5" w:rsidTr="00B765E6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8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8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0B2AC5" w:rsidRPr="000B2AC5" w:rsidTr="000B2AC5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AC5" w:rsidRPr="00B765E6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0B2AC5" w:rsidRPr="00B765E6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E6">
              <w:rPr>
                <w:rFonts w:ascii="Times New Roman" w:hAnsi="Times New Roman" w:cs="Times New Roman"/>
                <w:sz w:val="24"/>
                <w:szCs w:val="24"/>
              </w:rPr>
              <w:t>личность гражданина, собиравшего подписи)</w:t>
            </w:r>
          </w:p>
          <w:p w:rsidR="00B765E6" w:rsidRDefault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E6" w:rsidRDefault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E6" w:rsidRPr="000B2AC5" w:rsidRDefault="00B76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8" w:type="dxa"/>
            <w:gridSpan w:val="8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AC5" w:rsidRPr="000B2AC5" w:rsidTr="000B2AC5">
        <w:tc>
          <w:tcPr>
            <w:tcW w:w="510" w:type="dxa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26" w:type="dxa"/>
            <w:gridSpan w:val="4"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01A2" w:rsidRDefault="00F401A2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5E6" w:rsidRDefault="00B765E6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65E6">
        <w:rPr>
          <w:rFonts w:ascii="Times New Roman" w:hAnsi="Times New Roman" w:cs="Times New Roman"/>
          <w:sz w:val="28"/>
          <w:szCs w:val="28"/>
        </w:rPr>
        <w:t xml:space="preserve">№ </w:t>
      </w:r>
      <w:r w:rsidRPr="000B2AC5">
        <w:rPr>
          <w:rFonts w:ascii="Times New Roman" w:hAnsi="Times New Roman" w:cs="Times New Roman"/>
          <w:sz w:val="28"/>
          <w:szCs w:val="28"/>
        </w:rPr>
        <w:t>3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к Порядку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выдвижения, внесения, обсуждения,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рассмотрения инициативных проектов,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0B2AC5" w:rsidRPr="000B2AC5" w:rsidRDefault="000B2AC5" w:rsidP="000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</w:t>
      </w:r>
      <w:r w:rsidR="00B765E6">
        <w:rPr>
          <w:rFonts w:ascii="Times New Roman" w:hAnsi="Times New Roman" w:cs="Times New Roman"/>
          <w:sz w:val="28"/>
          <w:szCs w:val="28"/>
        </w:rPr>
        <w:t>Киржач Киржачского района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74"/>
      <w:bookmarkEnd w:id="14"/>
      <w:r w:rsidRPr="000B2AC5">
        <w:rPr>
          <w:rFonts w:ascii="Times New Roman" w:hAnsi="Times New Roman" w:cs="Times New Roman"/>
          <w:sz w:val="28"/>
          <w:szCs w:val="28"/>
        </w:rPr>
        <w:t>КРИТЕРИИ</w:t>
      </w:r>
    </w:p>
    <w:p w:rsidR="000B2AC5" w:rsidRPr="000B2AC5" w:rsidRDefault="000B2AC5" w:rsidP="000B2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ОЦЕНКИ ИНИЦИАТИВНОГО ПРОЕКТА</w:t>
      </w: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61"/>
        <w:gridCol w:w="5386"/>
        <w:gridCol w:w="1701"/>
      </w:tblGrid>
      <w:tr w:rsidR="000B2AC5" w:rsidRPr="000B2AC5" w:rsidTr="000B2AC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BD14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1. Социальная эффективность реализации инициативного проекта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1.1. Доля </w:t>
            </w:r>
            <w:proofErr w:type="spellStart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города (или его части)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до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100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1000 до 10000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свыше 10000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 w:rsidP="00452D2F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1.2. Степень участия населения города в идентификации проблемы в процессе ее предварительного рассмотрения (согласно протоколам собраний граждан, конференциям (собраниям делегатов)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результатам соответствующего опроса и т.д.)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до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100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1000 до 10000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свыше 10000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1.3. Направленность и доступность инициативного проекта для людей с ограниченными возможностями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направлен на решение проблем людей с ограниченными возможностями или доступен для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учитывает интересы и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людей с ограниченными возможностями или это не подтверждено документально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Экономическая эффективность реализации инициативного проекта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2.1. Уровень </w:t>
            </w:r>
            <w:proofErr w:type="spellStart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, вносимых в целях </w:t>
            </w:r>
            <w:proofErr w:type="spellStart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- при отсутствии </w:t>
            </w:r>
            <w:proofErr w:type="spellStart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до 10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10 до 20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20 до 30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30 до 40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40 до 50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свыше 50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2.2. Вклад в реализацию инициативного проекта со стороны физических и (или) юридических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при отсутствии вклада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до 10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10 до 20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20 до 30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30 до 40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от 40 до 50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свыше 50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% от стоимости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3. Наличие технической документации, позволяющей определить стоимость и возможность реализации инициативного проекта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наличие технической документации, позволяющей определить стоимость и возможность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технической документации, позволяющей 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стоимость и возможность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 w:rsidP="00452D2F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Наличие права собственности муниципального образования город </w:t>
            </w:r>
            <w:r w:rsidR="00452D2F"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(включая земельные участки, на которых расположены такие объекты либо планируется их размещение), строительство, реконструкцию, капитальный или текущий ремонт которых планируется осуществить в рамках реализации инициативных проектов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при наличии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при отсутствии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2AC5" w:rsidRPr="000B2AC5" w:rsidTr="000B2AC5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 за счет инициаторов проекта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инициативный прое</w:t>
            </w:r>
            <w:proofErr w:type="gramStart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 за счет инициаторов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AC5" w:rsidRPr="000B2AC5" w:rsidTr="000B2AC5"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- инициативный проект не включает мероприятия по содержанию и обслуживанию создаваемых объектов за счет инициаторов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C5" w:rsidRPr="000B2AC5" w:rsidRDefault="000B2A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2AC5" w:rsidRPr="000B2AC5" w:rsidRDefault="000B2AC5" w:rsidP="000B2AC5">
      <w:pPr>
        <w:rPr>
          <w:sz w:val="28"/>
          <w:szCs w:val="28"/>
        </w:rPr>
      </w:pPr>
    </w:p>
    <w:p w:rsidR="008F612D" w:rsidRPr="000B2AC5" w:rsidRDefault="008F612D">
      <w:pPr>
        <w:rPr>
          <w:sz w:val="28"/>
          <w:szCs w:val="28"/>
        </w:rPr>
      </w:pPr>
    </w:p>
    <w:sectPr w:rsidR="008F612D" w:rsidRPr="000B2AC5" w:rsidSect="00F401A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2AC5"/>
    <w:rsid w:val="00055CA4"/>
    <w:rsid w:val="000B2AC5"/>
    <w:rsid w:val="00126263"/>
    <w:rsid w:val="001D6D47"/>
    <w:rsid w:val="00270FC4"/>
    <w:rsid w:val="00273CBC"/>
    <w:rsid w:val="002C4A27"/>
    <w:rsid w:val="002E0C7E"/>
    <w:rsid w:val="00343D14"/>
    <w:rsid w:val="00394767"/>
    <w:rsid w:val="003E0577"/>
    <w:rsid w:val="003F4D25"/>
    <w:rsid w:val="00410566"/>
    <w:rsid w:val="00452D2F"/>
    <w:rsid w:val="004D2A1E"/>
    <w:rsid w:val="006565DC"/>
    <w:rsid w:val="00664E1E"/>
    <w:rsid w:val="006F3EA9"/>
    <w:rsid w:val="00751DCC"/>
    <w:rsid w:val="0088037C"/>
    <w:rsid w:val="008A589B"/>
    <w:rsid w:val="008D0F9F"/>
    <w:rsid w:val="008D1887"/>
    <w:rsid w:val="008F612D"/>
    <w:rsid w:val="009A4D01"/>
    <w:rsid w:val="00A973B6"/>
    <w:rsid w:val="00B765E6"/>
    <w:rsid w:val="00B77897"/>
    <w:rsid w:val="00BB1D9E"/>
    <w:rsid w:val="00BB28E8"/>
    <w:rsid w:val="00BD143F"/>
    <w:rsid w:val="00C029B3"/>
    <w:rsid w:val="00C23D08"/>
    <w:rsid w:val="00C92C02"/>
    <w:rsid w:val="00D840FF"/>
    <w:rsid w:val="00DF6088"/>
    <w:rsid w:val="00EA4169"/>
    <w:rsid w:val="00F14A58"/>
    <w:rsid w:val="00F4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58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customStyle="1" w:styleId="ConsPlusNormal">
    <w:name w:val="ConsPlusNormal"/>
    <w:rsid w:val="000B2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paragraph" w:customStyle="1" w:styleId="ConsPlusTitle">
    <w:name w:val="ConsPlusTitle"/>
    <w:rsid w:val="000B2A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B2A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B2AC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2AC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100346" TargetMode="External"/><Relationship Id="rId13" Type="http://schemas.openxmlformats.org/officeDocument/2006/relationships/hyperlink" Target="https://login.consultant.ru/link/?req=doc&amp;base=LAW&amp;n=465799" TargetMode="External"/><Relationship Id="rId18" Type="http://schemas.openxmlformats.org/officeDocument/2006/relationships/hyperlink" Target="https://login.consultant.ru/link/?req=doc&amp;base=LAW&amp;n=465799&amp;dst=9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5799&amp;dst=100335" TargetMode="Externa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https://login.consultant.ru/link/?req=doc&amp;base=RLAW072&amp;n=197115&amp;dst=1014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9201&amp;dst=1002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799&amp;dst=917" TargetMode="External"/><Relationship Id="rId11" Type="http://schemas.openxmlformats.org/officeDocument/2006/relationships/hyperlink" Target="https://login.consultant.ru/link/?req=doc&amp;base=RLAW072&amp;n=197115&amp;dst=1016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39201&amp;dst=100278" TargetMode="External"/><Relationship Id="rId10" Type="http://schemas.openxmlformats.org/officeDocument/2006/relationships/hyperlink" Target="https://login.consultant.ru/link/?req=doc&amp;base=LAW&amp;n=465799&amp;dst=962" TargetMode="External"/><Relationship Id="rId19" Type="http://schemas.openxmlformats.org/officeDocument/2006/relationships/hyperlink" Target="https://login.consultant.ru/link/?req=doc&amp;base=LAW&amp;n=465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9&amp;dst=100350" TargetMode="External"/><Relationship Id="rId14" Type="http://schemas.openxmlformats.org/officeDocument/2006/relationships/hyperlink" Target="https://login.consultant.ru/link/?req=doc&amp;base=RLAW072&amp;n=197115&amp;dst=101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6E22-B664-47B6-80FE-D1BA1FBC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7419</Words>
  <Characters>42290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UteshevaVS</cp:lastModifiedBy>
  <cp:revision>29</cp:revision>
  <cp:lastPrinted>2024-01-26T07:58:00Z</cp:lastPrinted>
  <dcterms:created xsi:type="dcterms:W3CDTF">2024-01-26T05:56:00Z</dcterms:created>
  <dcterms:modified xsi:type="dcterms:W3CDTF">2024-01-31T06:31:00Z</dcterms:modified>
</cp:coreProperties>
</file>